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left"/>
      </w:pPr>
      <w:r>
        <w:drawing>
          <wp:inline distT="0" distB="0" distL="0" distR="0">
            <wp:extent cx="1257300" cy="838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120"/>
        <w:jc w:val="left"/>
      </w:pPr>
      <w:r>
        <w:rPr>
          <w:rFonts w:ascii="Noi Grotesk" w:cs="Noi Grotesk" w:eastAsia="Noi Grotesk" w:hAnsi="Noi Grotesk"/>
          <w:b/>
          <w:bCs/>
          <w:color w:val="9D75F2"/>
          <w:sz w:val="20"/>
          <w:szCs w:val="20"/>
        </w:rPr>
        <w:t xml:space="preserve">КОММЕРЧЕСКОЕ ПРЕДЛОЖЕНИЕ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b/>
          <w:bCs/>
          <w:color w:val="252430"/>
          <w:sz w:val="44"/>
          <w:szCs w:val="44"/>
        </w:rPr>
        <w:t xml:space="preserve">на разработку Сервис доставки еды «Сытый город»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80"/>
        <w:jc w:val="left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для ООО «Сытый город»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40"/>
        <w:jc w:val="left"/>
      </w:pPr>
      <w:r>
        <w:rPr>
          <w:rFonts w:ascii="Noi Grotesk" w:cs="Noi Grotesk" w:eastAsia="Noi Grotesk" w:hAnsi="Noi Grotesk"/>
          <w:b/>
          <w:bCs/>
          <w:color w:val="979DA5"/>
          <w:sz w:val="20"/>
          <w:szCs w:val="20"/>
        </w:rPr>
        <w:t xml:space="preserve">Дата:  </w:t>
      </w:r>
      <w:r>
        <w:rPr>
          <w:rFonts w:ascii="Noi Grotesk" w:cs="Noi Grotesk" w:eastAsia="Noi Grotesk" w:hAnsi="Noi Grotesk"/>
          <w:b/>
          <w:bCs/>
          <w:color w:val="252430"/>
          <w:sz w:val="20"/>
          <w:szCs w:val="20"/>
        </w:rPr>
        <w:t xml:space="preserve">1 августа 2026 г.</w:t>
      </w:r>
    </w:p>
    <w:p>
      <w:pPr>
        <w:spacing w:after="40"/>
        <w:jc w:val="left"/>
      </w:pPr>
      <w:r>
        <w:rPr>
          <w:rFonts w:ascii="Noi Grotesk" w:cs="Noi Grotesk" w:eastAsia="Noi Grotesk" w:hAnsi="Noi Grotesk"/>
          <w:b/>
          <w:bCs/>
          <w:color w:val="979DA5"/>
          <w:sz w:val="20"/>
          <w:szCs w:val="20"/>
        </w:rPr>
        <w:t xml:space="preserve">Метод оценки:  </w:t>
      </w:r>
      <w:r>
        <w:rPr>
          <w:rFonts w:ascii="Noi Grotesk" w:cs="Noi Grotesk" w:eastAsia="Noi Grotesk" w:hAnsi="Noi Grotesk"/>
          <w:b/>
          <w:bCs/>
          <w:color w:val="252430"/>
          <w:sz w:val="20"/>
          <w:szCs w:val="20"/>
        </w:rPr>
        <w:t xml:space="preserve">PERT (трёхточечная оценка)</w:t>
      </w:r>
    </w:p>
    <w:p>
      <w:pPr>
        <w:spacing w:after="40"/>
        <w:jc w:val="left"/>
      </w:pPr>
      <w:r>
        <w:rPr>
          <w:rFonts w:ascii="Noi Grotesk" w:cs="Noi Grotesk" w:eastAsia="Noi Grotesk" w:hAnsi="Noi Grotesk"/>
          <w:b/>
          <w:bCs/>
          <w:color w:val="979DA5"/>
          <w:sz w:val="20"/>
          <w:szCs w:val="20"/>
        </w:rPr>
        <w:t xml:space="preserve">Документ подготовлен на основе анализа Технического задания</w:t>
      </w:r>
    </w:p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1.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Понимание задачи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sz w:val="20"/>
          <w:szCs w:val="20"/>
        </w:rPr>
        <w:t xml:space="preserve">Разработка сервиса доставки еды «Сытый город» для объединения 40+ ресторанов, курьеров и покупателей в единую экосистему. Проект призван заменить ручную диспетчеризацию автоматическим каскадным распределением заказов, снизить зависимости от сторонних агрегаторов и обеспечить обработку до 800 заказов в сутки, который обеспечит: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Автоматическая диспетчеризация и каскадное распределение заказов курьерам по геопозиции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Единый Flutter-кодбейс для удобных мобильных приложений покупателя и курьера (iOS и Android)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Прямые интеграции с POS-системами ресторанов (iiko/r_keeper) и фискализацией 54-ФЗ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Прозрачный гео-трекинг курьера в реальном времени на Яндекс Картах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80"/>
        <w:jc w:val="left"/>
      </w:pPr>
      <w:r>
        <w:rPr>
          <w:rFonts w:ascii="Noi Grotesk" w:cs="Noi Grotesk" w:eastAsia="Noi Grotesk" w:hAnsi="Noi Grotesk"/>
          <w:sz w:val="20"/>
          <w:szCs w:val="20"/>
        </w:rPr>
        <w:t xml:space="preserve">Данное предложение подготовлено на основе детального анализа Технического задания (классификация: Детальное ТЗ, уверенность 90%). ТЗ содержит 6 функциональных модулей, ролевую модель RBAC, требования к производительности, безопасности (OWASP Top 10) и поэтапный план реализации.</w:t>
      </w:r>
    </w:p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2.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Предлагаемое решение</w:t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2.1. Архитектурный подход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sz w:val="20"/>
          <w:szCs w:val="20"/>
        </w:rPr>
        <w:t xml:space="preserve">Предлагается современный стек: бэкенд на PHP 8.3 / Laravel с WebSocket-сервером для real-time гео-трекинга, мобильные приложения для iOS/Android на едином кроссплатформенном фреймворке Flutter, а также веб-кабинеты на Vue.js. Для картографии используется Yandex Maps API, для очереди задач и каскадного автораспределения заказов — Redis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b/>
          <w:bCs/>
          <w:color w:val="252430"/>
          <w:sz w:val="20"/>
          <w:szCs w:val="20"/>
        </w:rPr>
        <w:t xml:space="preserve">Frontend &amp; Mobile: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 Flutter (iOS/Android), Vue.js (Web-кабинеты ресторана и оператора)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b/>
          <w:bCs/>
          <w:color w:val="252430"/>
          <w:sz w:val="20"/>
          <w:szCs w:val="20"/>
        </w:rPr>
        <w:t xml:space="preserve">Backend: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 PHP 8.3 / Laravel, REST API, WebSocket (Pusher/Centrifugo) для real-time трекинга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b/>
          <w:bCs/>
          <w:color w:val="252430"/>
          <w:sz w:val="20"/>
          <w:szCs w:val="20"/>
        </w:rPr>
        <w:t xml:space="preserve">База данных &amp; Кэш: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 PostgreSQL, Redis (очереди каскадного автораспределения)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b/>
          <w:bCs/>
          <w:color w:val="252430"/>
          <w:sz w:val="20"/>
          <w:szCs w:val="20"/>
        </w:rPr>
        <w:t xml:space="preserve">Инфраструктура: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 Docker, GitLab CI/CD, Nginx, Sentry, S3-compatible хранилище фото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b/>
          <w:bCs/>
          <w:color w:val="252430"/>
          <w:sz w:val="20"/>
          <w:szCs w:val="20"/>
        </w:rPr>
        <w:t xml:space="preserve">Интеграции: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 Яндекс Карты API, iiko/r_keeper, CloudKassir/ЮKassa (54-ФЗ), Bank API (автовыплаты), SMS.ru, APNs/FCM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b/>
          <w:bCs/>
          <w:color w:val="252430"/>
          <w:sz w:val="20"/>
          <w:szCs w:val="20"/>
        </w:rPr>
        <w:t xml:space="preserve">Безопасность: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 HTTPS/TLS 1.3, JWT-аутентификация, соответствие 152-ФЗ (сервера в РФ), bcrypt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2.2. Функциональные модули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675"/>
        <w:gridCol w:w="1735"/>
        <w:gridCol w:w="5301"/>
        <w:gridCol w:w="1928"/>
      </w:tblGrid>
      <w:tr>
        <w:trPr>
          <w:tblHeader/>
        </w:trPr>
        <w:tc>
          <w:tcPr>
            <w:tcW w:type="dxa" w:w="675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№</w:t>
            </w:r>
          </w:p>
        </w:tc>
        <w:tc>
          <w:tcPr>
            <w:tcW w:type="dxa" w:w="1735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Модуль</w:t>
            </w:r>
          </w:p>
        </w:tc>
        <w:tc>
          <w:tcPr>
            <w:tcW w:type="dxa" w:w="5301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Описание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Сложность</w:t>
            </w:r>
          </w:p>
        </w:tc>
      </w:tr>
      <w:tr>
        <w:tc>
          <w:tcPr>
            <w:tcW w:type="dxa" w:w="67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</w:t>
            </w:r>
          </w:p>
        </w:tc>
        <w:tc>
          <w:tcPr>
            <w:tcW w:type="dxa" w:w="1735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Авторизация и профили пользователей</w:t>
            </w:r>
          </w:p>
        </w:tc>
        <w:tc>
          <w:tcPr>
            <w:tcW w:type="dxa" w:w="5301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Вход по SMS, профили покупателей с сохраненными адресами, ролевая модель ресторана (админ/повар) и операторов.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Низкая</w:t>
            </w:r>
          </w:p>
        </w:tc>
      </w:tr>
      <w:tr>
        <w:tc>
          <w:tcPr>
            <w:tcW w:type="dxa" w:w="675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2</w:t>
            </w:r>
          </w:p>
        </w:tc>
        <w:tc>
          <w:tcPr>
            <w:tcW w:type="dxa" w:w="1735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Приложение покупателя (Web, iOS, Android)</w:t>
            </w:r>
          </w:p>
        </w:tc>
        <w:tc>
          <w:tcPr>
            <w:tcW w:type="dxa" w:w="5301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Каталог, поиск, меню, карточка блюда, корзина, промокоды, оплата картой/наличными, 54-ФЗ, Push и оценка заказов.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Средняя</w:t>
            </w:r>
          </w:p>
        </w:tc>
      </w:tr>
      <w:tr>
        <w:tc>
          <w:tcPr>
            <w:tcW w:type="dxa" w:w="67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3</w:t>
            </w:r>
          </w:p>
        </w:tc>
        <w:tc>
          <w:tcPr>
            <w:tcW w:type="dxa" w:w="1735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Личный кабинет ресторана</w:t>
            </w:r>
          </w:p>
        </w:tc>
        <w:tc>
          <w:tcPr>
            <w:tcW w:type="dxa" w:w="5301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Управление номенклатурой меню, стоп-листами с автовозвратом, звуковая лента заказов, таймер готовности и финансовые отчёты.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Средняя</w:t>
            </w:r>
          </w:p>
        </w:tc>
      </w:tr>
      <w:tr>
        <w:tc>
          <w:tcPr>
            <w:tcW w:type="dxa" w:w="675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4</w:t>
            </w:r>
          </w:p>
        </w:tc>
        <w:tc>
          <w:tcPr>
            <w:tcW w:type="dxa" w:w="1735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Мобильное приложение курьера (iOS, Android)</w:t>
            </w:r>
          </w:p>
        </w:tc>
        <w:tc>
          <w:tcPr>
            <w:tcW w:type="dxa" w:w="5301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Управление сменами, 60-секундный акцепт заказов, построение маршрутов на Яндекс Картах, подтверждение доставки и экран заработка.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Высокая</w:t>
            </w:r>
          </w:p>
        </w:tc>
      </w:tr>
      <w:tr>
        <w:tc>
          <w:tcPr>
            <w:tcW w:type="dxa" w:w="67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5</w:t>
            </w:r>
          </w:p>
        </w:tc>
        <w:tc>
          <w:tcPr>
            <w:tcW w:type="dxa" w:w="1735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Автоматическое распределение заказов (Dispatch)</w:t>
            </w:r>
          </w:p>
        </w:tc>
        <w:tc>
          <w:tcPr>
            <w:tcW w:type="dxa" w:w="5301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Алгоритм гео-подбора курьера, каскадное переназначение при отказе/таймауте, эскалация оператору и real-time WebSocket трекинг.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Высокая</w:t>
            </w:r>
          </w:p>
        </w:tc>
      </w:tr>
      <w:tr>
        <w:tc>
          <w:tcPr>
            <w:tcW w:type="dxa" w:w="675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6</w:t>
            </w:r>
          </w:p>
        </w:tc>
        <w:tc>
          <w:tcPr>
            <w:tcW w:type="dxa" w:w="1735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Панель оператора и администрирование</w:t>
            </w:r>
          </w:p>
        </w:tc>
        <w:tc>
          <w:tcPr>
            <w:tcW w:type="dxa" w:w="5301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Модерация ресторанов, реестр курьеров, мониторинг заказов с подсветкой просрочки, ручной диспетчинг, возвраты денег и аналитика.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Средняя</w:t>
            </w:r>
          </w:p>
        </w:tc>
      </w:tr>
    </w:tbl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3.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Аналоги на рынке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sz w:val="20"/>
          <w:szCs w:val="20"/>
        </w:rPr>
        <w:t xml:space="preserve">Перед подготовкой предложения мы провели анализ существующих решений на рынке.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410"/>
        <w:gridCol w:w="5301"/>
        <w:gridCol w:w="1928"/>
      </w:tblGrid>
      <w:tr>
        <w:trPr>
          <w:tblHeader/>
        </w:trPr>
        <w:tc>
          <w:tcPr>
            <w:tcW w:type="dxa" w:w="2410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Продукт</w:t>
            </w:r>
          </w:p>
        </w:tc>
        <w:tc>
          <w:tcPr>
            <w:tcW w:type="dxa" w:w="5301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Описание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Релевантность</w:t>
            </w:r>
          </w:p>
        </w:tc>
      </w:tr>
      <w:tr>
        <w:tc>
          <w:tcPr>
            <w:tcW w:type="dxa" w:w="2410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Яндекс Еда / Delivery Club</w:t>
            </w:r>
          </w:p>
        </w:tc>
        <w:tc>
          <w:tcPr>
            <w:tcW w:type="dxa" w:w="5301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Крупнейшие федеральные мульти-ресторанные агрегаторы доставки с автоматической диспетчеризацией.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Высокая</w:t>
            </w:r>
          </w:p>
        </w:tc>
      </w:tr>
      <w:tr>
        <w:tc>
          <w:tcPr>
            <w:tcW w:type="dxa" w:w="2410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Купер (СберМаркет)</w:t>
            </w:r>
          </w:p>
        </w:tc>
        <w:tc>
          <w:tcPr>
            <w:tcW w:type="dxa" w:w="5301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Сервис экспресс-доставки с решением задач гео-маршрутизации и работы курьерских смен.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Средняя</w:t>
            </w:r>
          </w:p>
        </w:tc>
      </w:tr>
    </w:tbl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80"/>
        <w:jc w:val="left"/>
      </w:pPr>
      <w:r>
        <w:rPr>
          <w:rFonts w:ascii="Noi Grotesk" w:cs="Noi Grotesk" w:eastAsia="Noi Grotesk" w:hAnsi="Noi Grotesk"/>
          <w:sz w:val="20"/>
          <w:szCs w:val="20"/>
        </w:rPr>
        <w:t xml:space="preserve">Формат Product Engineer позволяет запустить готовую рабочую систему в 1.5–2 раза быстрее классических студий за счёт отсутствия лишних звеньев коммуникации и использования AI-инструментов разработки Code Pilots</w:t>
      </w:r>
    </w:p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3.1.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Наш опыт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sz w:val="20"/>
          <w:szCs w:val="20"/>
        </w:rPr>
        <w:t xml:space="preserve">Мы имеем опыт реализации аналогичных проектов. Детальное портфолио с визуальными материалами представлено в приложении.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tbl>
      <w:tblPr>
        <w:tblW w:type="dxa" w:w="9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28"/>
        <w:gridCol w:w="4338"/>
        <w:gridCol w:w="2410"/>
        <w:gridCol w:w="964"/>
      </w:tblGrid>
      <w:tr>
        <w:trPr>
          <w:tblHeader/>
        </w:trPr>
        <w:tc>
          <w:tcPr>
            <w:tcW w:type="dxa" w:w="1928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Проект</w:t>
            </w:r>
          </w:p>
        </w:tc>
        <w:tc>
          <w:tcPr>
            <w:tcW w:type="dxa" w:w="4338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Описание</w:t>
            </w:r>
          </w:p>
        </w:tc>
        <w:tc>
          <w:tcPr>
            <w:tcW w:type="dxa" w:w="2410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Стек</w:t>
            </w:r>
          </w:p>
        </w:tc>
        <w:tc>
          <w:tcPr>
            <w:tcW w:type="dxa" w:w="964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Год</w:t>
            </w:r>
          </w:p>
        </w:tc>
      </w:tr>
      <w:tr>
        <w:tc>
          <w:tcPr>
            <w:tcW w:type="dxa" w:w="1928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Blaze — B2B/B2C маркетплейс с гео-сервисами</w:t>
            </w:r>
          </w:p>
        </w:tc>
        <w:tc>
          <w:tcPr>
            <w:tcW w:type="dxa" w:w="4338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Разработка двухсторонней платформы на Flutter с интерактивными Яндекс Картами, онлайн-записью, заказами и интеграциями с учетными системами. Опыт реализации гео-сервисов и мульти-ролевых кабинетов.</w:t>
            </w:r>
          </w:p>
        </w:tc>
        <w:tc>
          <w:tcPr>
            <w:tcW w:type="dxa" w:w="2410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Flutter, Яндекс.Карты, Мой Склад, CRM</w:t>
            </w:r>
          </w:p>
        </w:tc>
        <w:tc>
          <w:tcPr>
            <w:tcW w:type="dxa" w:w="96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2023</w:t>
            </w:r>
          </w:p>
        </w:tc>
      </w:tr>
      <w:tr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Petshop Выгул — сервис-агрегатор заказов</w:t>
            </w:r>
          </w:p>
        </w:tc>
        <w:tc>
          <w:tcPr>
            <w:tcW w:type="dxa" w:w="4338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Приложение-агрегатор гео-сервисов на Flutter с картами Яндекс, онлайн-оплатой и быстрым оформлением заказов в 3 клика. Запуск MVP за 3 месяца.</w:t>
            </w:r>
          </w:p>
        </w:tc>
        <w:tc>
          <w:tcPr>
            <w:tcW w:type="dxa" w:w="2410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Flutter, Яндекс.Карты, DaData, Assist</w:t>
            </w:r>
          </w:p>
        </w:tc>
        <w:tc>
          <w:tcPr>
            <w:tcW w:type="dxa" w:w="964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2023</w:t>
            </w:r>
          </w:p>
        </w:tc>
      </w:tr>
      <w:tr>
        <w:tc>
          <w:tcPr>
            <w:tcW w:type="dxa" w:w="1928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B2B/B2C система заказов и доставки</w:t>
            </w:r>
          </w:p>
        </w:tc>
        <w:tc>
          <w:tcPr>
            <w:tcW w:type="dxa" w:w="4338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Высоконагруженная торговая платформа с интеграцией 1С DWH, асинхронной обработкой статусов заказов через очереди RabbitMQ и индивидуальными условиями для контрагентов.</w:t>
            </w:r>
          </w:p>
        </w:tc>
        <w:tc>
          <w:tcPr>
            <w:tcW w:type="dxa" w:w="2410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Go, PHP, RabbitMQ, 1С DWH, REST API</w:t>
            </w:r>
          </w:p>
        </w:tc>
        <w:tc>
          <w:tcPr>
            <w:tcW w:type="dxa" w:w="96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2023</w:t>
            </w:r>
          </w:p>
        </w:tc>
      </w:tr>
    </w:tbl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4.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Состав работ и этапы</w:t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Этап 1. Аналитика, кликабельный прототип и дизайн-ревью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Аналитика и спецификация требований: снятие ТЗ, моделирование данных, протоколы интеграций (iiko/r_keeper, Bank API, 54-ФЗ)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Кликабельный интерактивный прототип ключевых экранов на 1-й неделе (покупатель, ресторан, курьер, оператор)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Дизайн-ревью готовой вёрстки, адаптация дизайн-токенов и AI-доводка визуала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Трудозатраты: 41 ч | Стоимость: 151 600 ₽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Этап 2. Бэкенд, автораспределение (Dispatch) и базовые интеграции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Архитектурный каркас бэкенда, авторизация по SMS, ролевая модель (покупатель, ресторан, курьер, оператор)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Модуль каталога, поиска, меню ресторанов и управления стоп-листами с автовозвратом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Сервис корзины, оформления заказа, валидации промокодов и расчета доставки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Интеллектуальный алгоритм автораспределения заказов (Dispatch): каскадный выбор курьера по геопозиции, таймауты (60с), эскалация оператору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Интеграция с Яндекс Картами (геокодинг, подсказки, маршрутизация) и WebSocket 5-10s гео-трекинг курьеров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Трудозатраты: 111 ч | Стоимость: 421 800 ₽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Этап 3. Интеграции эквайринга, касс (54-ФЗ), POS-систем (iiko/r_keeper) и банка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Интеграция платежного эквайринга, холдирование, проведение возвратов и кассы 54-ФЗ по мульти-вендорной схеме ресторанов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Модуль интеграции с POS-системами ресторанов (iiko / r_keeper) для передаче заказов и синхронизации стоп-листов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Модуль автоматических выплат курьерам через API банка и выгрузка реестров в 1С:Бухгалтерия (CSV/Excel)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Трудозатраты: 75 ч | Стоимость: 285 000 ₽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Этап 4. Кроссплатформенные клиенты (Flutter) и веб-кабинеты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Кроссплатформенное приложение покупателя (Flutter iOS/Android + адаптивный Web): каталог, заказ, трекинг на карте, Push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Мобильное приложение курьера (Flutter iOS/Android): смены, приём заказов (60с), фоновый геолокейшн, маршруты, подтверждения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Веб-кабинет ресторана (администратор/повар) и Диспетчерская панель оператора (мониторинг, споры, модерация, отчёты)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Трудозатраты: 108 ч | Стоимость: 410 400 ₽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Этап 5. Комплексное тестирование и запуск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Функциональное, E2E и нагрузочное тестирование всех роли-сценариев (покупатель-ресторан-курьер-оператор) и интеграций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Финальная настройка прод-окружения, миграция, приемка на пилотных 5 ресторанах и стабилизация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Трудозатраты: 42 ч | Стоимость: 134 400 ₽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Этап 6. Код-ревью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Ревью кода разработки платформенной командой студии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Трудозатраты: 30 ч | Стоимость: 114 000 ₽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Этап 7. Фиксированные задачи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Развёртывание типового CI/CD и инфраструктуры (шаблон студии) (Платформа, 6 ч)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Настройка окружений разработки (dev, staging) по шаблону (Платформа, 4 ч)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Техническая документация (AI-генерация + вычитка) (PE Lead, 8 ч)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Тестовая документация (AI-генерация + вычитка) (Платформа, 4 ч)</w:t>
      </w:r>
    </w:p>
    <w:p>
      <w:pPr>
        <w:spacing w:after="80"/>
        <w:jc w:val="left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Трудозатраты: 22 ч | Стоимость: 75 200 ₽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5.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Команда проекта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99"/>
        <w:gridCol w:w="964"/>
        <w:gridCol w:w="1349"/>
        <w:gridCol w:w="4627"/>
      </w:tblGrid>
      <w:tr>
        <w:trPr>
          <w:tblHeader/>
        </w:trPr>
        <w:tc>
          <w:tcPr>
            <w:tcW w:type="dxa" w:w="2699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Состав</w:t>
            </w:r>
          </w:p>
        </w:tc>
        <w:tc>
          <w:tcPr>
            <w:tcW w:type="dxa" w:w="964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Кол-во</w:t>
            </w:r>
          </w:p>
        </w:tc>
        <w:tc>
          <w:tcPr>
            <w:tcW w:type="dxa" w:w="1349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PERT-часы</w:t>
            </w:r>
          </w:p>
        </w:tc>
        <w:tc>
          <w:tcPr>
            <w:tcW w:type="dxa" w:w="4627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Зона ответственности</w:t>
            </w:r>
          </w:p>
        </w:tc>
      </w:tr>
      <w:tr>
        <w:tc>
          <w:tcPr>
            <w:tcW w:type="dxa" w:w="269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Product Engineer Lead</w:t>
            </w:r>
          </w:p>
        </w:tc>
        <w:tc>
          <w:tcPr>
            <w:tcW w:type="dxa" w:w="96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</w:t>
            </w:r>
          </w:p>
        </w:tc>
        <w:tc>
          <w:tcPr>
            <w:tcW w:type="dxa" w:w="134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33</w:t>
            </w:r>
          </w:p>
        </w:tc>
        <w:tc>
          <w:tcPr>
            <w:tcW w:type="dxa" w:w="462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Держит весь скоуп от начала до конца: аналитика и требования (33 ч). Единый держатель контекста — без потерь на передачу требований между специалистами.</w:t>
            </w:r>
          </w:p>
        </w:tc>
      </w:tr>
      <w:tr>
        <w:tc>
          <w:tcPr>
            <w:tcW w:type="dxa" w:w="2699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AI Developer</w:t>
            </w:r>
          </w:p>
        </w:tc>
        <w:tc>
          <w:tcPr>
            <w:tcW w:type="dxa" w:w="964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</w:t>
            </w:r>
          </w:p>
        </w:tc>
        <w:tc>
          <w:tcPr>
            <w:tcW w:type="dxa" w:w="1349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333</w:t>
            </w:r>
          </w:p>
        </w:tc>
        <w:tc>
          <w:tcPr>
            <w:tcW w:type="dxa" w:w="4627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Реализация backend и frontend с AI-инструментами студии под руководством PE Lead, включая код-ревью платформенной команды (30 ч).</w:t>
            </w:r>
          </w:p>
        </w:tc>
      </w:tr>
      <w:tr>
        <w:tc>
          <w:tcPr>
            <w:tcW w:type="dxa" w:w="269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Платформенная команда (по запросу)</w:t>
            </w:r>
          </w:p>
        </w:tc>
        <w:tc>
          <w:tcPr>
            <w:tcW w:type="dxa" w:w="96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—</w:t>
            </w:r>
          </w:p>
        </w:tc>
        <w:tc>
          <w:tcPr>
            <w:tcW w:type="dxa" w:w="134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63</w:t>
            </w:r>
          </w:p>
        </w:tc>
        <w:tc>
          <w:tcPr>
            <w:tcW w:type="dxa" w:w="462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Подключается по запросу: QA, DevOps и настройка окружений (63 ч).</w:t>
            </w:r>
          </w:p>
        </w:tc>
      </w:tr>
      <w:tr>
        <w:tc>
          <w:tcPr>
            <w:tcW w:type="dxa" w:w="2699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ИТОГО</w:t>
            </w:r>
          </w:p>
        </w:tc>
        <w:tc>
          <w:tcPr>
            <w:tcW w:type="dxa" w:w="964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1 Product Engineer + AI Developer + платформенная команда по запросу</w:t>
            </w:r>
          </w:p>
        </w:tc>
        <w:tc>
          <w:tcPr>
            <w:tcW w:type="dxa" w:w="1349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429 ч</w:t>
            </w:r>
          </w:p>
        </w:tc>
        <w:tc>
          <w:tcPr>
            <w:tcW w:type="dxa" w:w="4627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—</w:t>
            </w:r>
          </w:p>
        </w:tc>
      </w:tr>
    </w:tbl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80"/>
        <w:jc w:val="left"/>
      </w:pPr>
      <w:r>
        <w:rPr>
          <w:rFonts w:ascii="Noi Grotesk" w:cs="Noi Grotesk" w:eastAsia="Noi Grotesk" w:hAnsi="Noi Grotesk"/>
          <w:sz w:val="20"/>
          <w:szCs w:val="20"/>
        </w:rPr>
        <w:t xml:space="preserve">В смете (раздел «Состав работ и стоимость») трудозатраты разложены по видам работ для прозрачности ценообразования. Модель производства: Product Engineer Lead держит контекст и ведёт проект, AI Developer реализует backend и frontend с AI-ускорением, платформенная команда студии подключается по запросу (QA, DevOps, дизайн-ревью, код-ревью).</w:t>
      </w:r>
    </w:p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6.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Сроки реализации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120" w:before="80"/>
        <w:jc w:val="center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Ориентировочный срок реализации: 13–15 недель (~3,8 мес.)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410"/>
        <w:gridCol w:w="1928"/>
        <w:gridCol w:w="5301"/>
      </w:tblGrid>
      <w:tr>
        <w:trPr>
          <w:tblHeader/>
        </w:trPr>
        <w:tc>
          <w:tcPr>
            <w:tcW w:type="dxa" w:w="2410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Этап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Недели</w:t>
            </w:r>
          </w:p>
        </w:tc>
        <w:tc>
          <w:tcPr>
            <w:tcW w:type="dxa" w:w="5301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Результат</w:t>
            </w:r>
          </w:p>
        </w:tc>
      </w:tr>
      <w:tr>
        <w:tc>
          <w:tcPr>
            <w:tcW w:type="dxa" w:w="2410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Аналитика, кликабельный прототип и дизайн-ревью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1–2</w:t>
            </w:r>
          </w:p>
        </w:tc>
        <w:tc>
          <w:tcPr>
            <w:tcW w:type="dxa" w:w="5301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10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Бэкенд, автораспределение (Dispatch) и базовые интеграции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3–6</w:t>
            </w:r>
          </w:p>
        </w:tc>
        <w:tc>
          <w:tcPr>
            <w:tcW w:type="dxa" w:w="5301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10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Интеграции эквайринга, касс (54-ФЗ), POS-систем (iiko/r_keeper) и банка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7–9</w:t>
            </w:r>
          </w:p>
        </w:tc>
        <w:tc>
          <w:tcPr>
            <w:tcW w:type="dxa" w:w="5301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10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Кроссплатформенные клиенты (Flutter) и веб-кабинеты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10–13</w:t>
            </w:r>
          </w:p>
        </w:tc>
        <w:tc>
          <w:tcPr>
            <w:tcW w:type="dxa" w:w="5301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10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Комплексное тестирование и запуск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14–15</w:t>
            </w:r>
          </w:p>
        </w:tc>
        <w:tc>
          <w:tcPr>
            <w:tcW w:type="dxa" w:w="5301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7.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Стоимость</w:t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7.1. Распределение бюджета по фазам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tbl>
      <w:tblPr>
        <w:tblW w:type="dxa" w:w="9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856"/>
        <w:gridCol w:w="1157"/>
        <w:gridCol w:w="2699"/>
        <w:gridCol w:w="1928"/>
      </w:tblGrid>
      <w:tr>
        <w:trPr>
          <w:tblHeader/>
        </w:trPr>
        <w:tc>
          <w:tcPr>
            <w:tcW w:type="dxa" w:w="3856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Статья</w:t>
            </w:r>
          </w:p>
        </w:tc>
        <w:tc>
          <w:tcPr>
            <w:tcW w:type="dxa" w:w="1157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Часы</w:t>
            </w:r>
          </w:p>
        </w:tc>
        <w:tc>
          <w:tcPr>
            <w:tcW w:type="dxa" w:w="2699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Стоимость (₽)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Доля</w:t>
            </w:r>
          </w:p>
        </w:tc>
      </w:tr>
      <w:tr>
        <w:tc>
          <w:tcPr>
            <w:tcW w:type="dxa" w:w="3856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Аналитика, кликабельный прототип и дизайн-ревью</w:t>
            </w:r>
          </w:p>
        </w:tc>
        <w:tc>
          <w:tcPr>
            <w:tcW w:type="dxa" w:w="1157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41</w:t>
            </w:r>
          </w:p>
        </w:tc>
        <w:tc>
          <w:tcPr>
            <w:tcW w:type="dxa" w:w="2699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151 600 ₽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9,5%</w:t>
            </w:r>
          </w:p>
        </w:tc>
      </w:tr>
      <w:tr>
        <w:tc>
          <w:tcPr>
            <w:tcW w:type="dxa" w:w="3856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Бэкенд, автораспределение (Dispatch) и базовые интеграции</w:t>
            </w:r>
          </w:p>
        </w:tc>
        <w:tc>
          <w:tcPr>
            <w:tcW w:type="dxa" w:w="1157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111</w:t>
            </w:r>
          </w:p>
        </w:tc>
        <w:tc>
          <w:tcPr>
            <w:tcW w:type="dxa" w:w="2699"/>
            <w:shd w:fill="F8F8F8" w:val="clear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421 800 ₽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26,5%</w:t>
            </w:r>
          </w:p>
        </w:tc>
      </w:tr>
      <w:tr>
        <w:tc>
          <w:tcPr>
            <w:tcW w:type="dxa" w:w="3856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Интеграции эквайринга, касс (54-ФЗ), POS-систем (iiko/r_keeper) и банка</w:t>
            </w:r>
          </w:p>
        </w:tc>
        <w:tc>
          <w:tcPr>
            <w:tcW w:type="dxa" w:w="1157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75</w:t>
            </w:r>
          </w:p>
        </w:tc>
        <w:tc>
          <w:tcPr>
            <w:tcW w:type="dxa" w:w="2699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285 000 ₽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17,9%</w:t>
            </w:r>
          </w:p>
        </w:tc>
      </w:tr>
      <w:tr>
        <w:tc>
          <w:tcPr>
            <w:tcW w:type="dxa" w:w="3856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Кроссплатформенные клиенты (Flutter) и веб-кабинеты</w:t>
            </w:r>
          </w:p>
        </w:tc>
        <w:tc>
          <w:tcPr>
            <w:tcW w:type="dxa" w:w="1157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108</w:t>
            </w:r>
          </w:p>
        </w:tc>
        <w:tc>
          <w:tcPr>
            <w:tcW w:type="dxa" w:w="2699"/>
            <w:shd w:fill="F8F8F8" w:val="clear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410 400 ₽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25,8%</w:t>
            </w:r>
          </w:p>
        </w:tc>
      </w:tr>
      <w:tr>
        <w:tc>
          <w:tcPr>
            <w:tcW w:type="dxa" w:w="3856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Комплексное тестирование и запуск</w:t>
            </w:r>
          </w:p>
        </w:tc>
        <w:tc>
          <w:tcPr>
            <w:tcW w:type="dxa" w:w="1157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42</w:t>
            </w:r>
          </w:p>
        </w:tc>
        <w:tc>
          <w:tcPr>
            <w:tcW w:type="dxa" w:w="2699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134 400 ₽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8,4%</w:t>
            </w:r>
          </w:p>
        </w:tc>
      </w:tr>
      <w:tr>
        <w:tc>
          <w:tcPr>
            <w:tcW w:type="dxa" w:w="3856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Код-ревью</w:t>
            </w:r>
          </w:p>
        </w:tc>
        <w:tc>
          <w:tcPr>
            <w:tcW w:type="dxa" w:w="1157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30</w:t>
            </w:r>
          </w:p>
        </w:tc>
        <w:tc>
          <w:tcPr>
            <w:tcW w:type="dxa" w:w="2699"/>
            <w:shd w:fill="F8F8F8" w:val="clear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114 000 ₽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7,2%</w:t>
            </w:r>
          </w:p>
        </w:tc>
      </w:tr>
      <w:tr>
        <w:tc>
          <w:tcPr>
            <w:tcW w:type="dxa" w:w="3856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Фиксированные задачи</w:t>
            </w:r>
          </w:p>
        </w:tc>
        <w:tc>
          <w:tcPr>
            <w:tcW w:type="dxa" w:w="1157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22</w:t>
            </w:r>
          </w:p>
        </w:tc>
        <w:tc>
          <w:tcPr>
            <w:tcW w:type="dxa" w:w="2699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75 200 ₽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4,7%</w:t>
            </w:r>
          </w:p>
        </w:tc>
      </w:tr>
      <w:tr>
        <w:tc>
          <w:tcPr>
            <w:tcW w:type="dxa" w:w="3856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Базовая стоимость работ</w:t>
            </w:r>
          </w:p>
        </w:tc>
        <w:tc>
          <w:tcPr>
            <w:tcW w:type="dxa" w:w="1157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429</w:t>
            </w:r>
          </w:p>
        </w:tc>
        <w:tc>
          <w:tcPr>
            <w:tcW w:type="dxa" w:w="2699"/>
            <w:shd w:fill="F8F8F8" w:val="clear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1 592 400 ₽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100%</w:t>
            </w:r>
          </w:p>
        </w:tc>
      </w:tr>
      <w:tr>
        <w:tc>
          <w:tcPr>
            <w:tcW w:type="dxa" w:w="3856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Риск-буфер 20%</w:t>
            </w:r>
          </w:p>
        </w:tc>
        <w:tc>
          <w:tcPr>
            <w:tcW w:type="dxa" w:w="1157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—</w:t>
            </w:r>
          </w:p>
        </w:tc>
        <w:tc>
          <w:tcPr>
            <w:tcW w:type="dxa" w:w="2699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+ 318 480 ₽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3856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Стоимость с буфером (без НДС)</w:t>
            </w:r>
          </w:p>
        </w:tc>
        <w:tc>
          <w:tcPr>
            <w:tcW w:type="dxa" w:w="1157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—</w:t>
            </w:r>
          </w:p>
        </w:tc>
        <w:tc>
          <w:tcPr>
            <w:tcW w:type="dxa" w:w="2699"/>
            <w:shd w:fill="F8F8F8" w:val="clear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1 910 880 ₽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3856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НДС 5%</w:t>
            </w:r>
          </w:p>
        </w:tc>
        <w:tc>
          <w:tcPr>
            <w:tcW w:type="dxa" w:w="1157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—</w:t>
            </w:r>
          </w:p>
        </w:tc>
        <w:tc>
          <w:tcPr>
            <w:tcW w:type="dxa" w:w="2699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+ 95 544 ₽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3856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ИТОГО к оплате</w:t>
            </w:r>
          </w:p>
        </w:tc>
        <w:tc>
          <w:tcPr>
            <w:tcW w:type="dxa" w:w="1157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—</w:t>
            </w:r>
          </w:p>
        </w:tc>
        <w:tc>
          <w:tcPr>
            <w:tcW w:type="dxa" w:w="2699"/>
            <w:shd w:fill="F8F8F8" w:val="clear"/>
            <w:vAlign w:val="center"/>
          </w:tcPr>
          <w:p>
            <w:pPr>
              <w:spacing w:after="20" w:before="20"/>
              <w:jc w:val="right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2 006 424 ₽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—</w:t>
            </w:r>
          </w:p>
        </w:tc>
      </w:tr>
    </w:tbl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7.2. Стоимость проекта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tbl>
      <w:tblPr>
        <w:tblW w:type="dxa" w:w="9639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9639"/>
      </w:tblGrid>
      <w:tr>
        <w:tc>
          <w:tcPr>
            <w:tcW w:type="dxa" w:w="9639"/>
            <w:shd w:fill="252430" w:val="clear"/>
            <w:vAlign w:val="center"/>
          </w:tcPr>
          <w:p>
            <w:pPr>
              <w:spacing w:after="120" w:before="2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979DA5"/>
                <w:sz w:val="18"/>
                <w:szCs w:val="18"/>
              </w:rPr>
              <w:t xml:space="preserve">СТОИМОСТЬ ПРОЕКТА</w:t>
            </w:r>
          </w:p>
          <w:p>
            <w:pPr>
              <w:spacing w:after="12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BAFF4E"/>
                <w:sz w:val="44"/>
                <w:szCs w:val="44"/>
              </w:rPr>
              <w:t xml:space="preserve">2 006 424 ₽</w:t>
            </w:r>
          </w:p>
          <w:p>
            <w:pPr>
              <w:spacing w:after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C7CBD1"/>
                <w:sz w:val="20"/>
                <w:szCs w:val="20"/>
              </w:rPr>
              <w:t xml:space="preserve">В т.ч. НДС 5% — 95 544 ₽</w:t>
            </w:r>
          </w:p>
          <w:p>
            <w:pPr>
              <w:spacing w:after="2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C7CBD1"/>
                <w:sz w:val="20"/>
                <w:szCs w:val="20"/>
              </w:rPr>
              <w:t xml:space="preserve">Без НДС: 1 910 880 ₽</w:t>
            </w:r>
          </w:p>
        </w:tc>
      </w:tr>
    </w:tbl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7.3. Условия оплаты</w:t>
      </w:r>
    </w:p>
    <w:p>
      <w:pPr>
        <w:spacing w:after="80"/>
      </w:pPr>
      <w:r>
        <w:rPr>
          <w:rFonts w:ascii="Noi Grotesk" w:cs="Noi Grotesk" w:eastAsia="Noi Grotesk" w:hAnsi="Noi Grotesk"/>
          <w:b/>
          <w:bCs/>
          <w:color w:val="9D75F2"/>
          <w:sz w:val="22"/>
          <w:szCs w:val="22"/>
        </w:rPr>
        <w:t xml:space="preserve">30%</w:t>
      </w:r>
      <w:r>
        <w:rPr>
          <w:rFonts w:ascii="Noi Grotesk" w:cs="Noi Grotesk" w:eastAsia="Noi Grotesk" w:hAnsi="Noi Grotesk"/>
          <w:color w:val="252430"/>
          <w:sz w:val="22"/>
          <w:szCs w:val="22"/>
        </w:rPr>
        <w:t xml:space="preserve">  — Аванс при подписании договора (Старт аналитики и прототипа) (601 927 ₽)</w:t>
      </w:r>
    </w:p>
    <w:p>
      <w:pPr>
        <w:spacing w:after="80"/>
      </w:pPr>
      <w:r>
        <w:rPr>
          <w:rFonts w:ascii="Noi Grotesk" w:cs="Noi Grotesk" w:eastAsia="Noi Grotesk" w:hAnsi="Noi Grotesk"/>
          <w:b/>
          <w:bCs/>
          <w:color w:val="9D75F2"/>
          <w:sz w:val="22"/>
          <w:szCs w:val="22"/>
        </w:rPr>
        <w:t xml:space="preserve">20%</w:t>
      </w:r>
      <w:r>
        <w:rPr>
          <w:rFonts w:ascii="Noi Grotesk" w:cs="Noi Grotesk" w:eastAsia="Noi Grotesk" w:hAnsi="Noi Grotesk"/>
          <w:color w:val="252430"/>
          <w:sz w:val="22"/>
          <w:szCs w:val="22"/>
        </w:rPr>
        <w:t xml:space="preserve">  — После сдачи аналитики, прототипа и проектирования API (401 285 ₽)</w:t>
      </w:r>
    </w:p>
    <w:p>
      <w:pPr>
        <w:spacing w:after="80"/>
      </w:pPr>
      <w:r>
        <w:rPr>
          <w:rFonts w:ascii="Noi Grotesk" w:cs="Noi Grotesk" w:eastAsia="Noi Grotesk" w:hAnsi="Noi Grotesk"/>
          <w:b/>
          <w:bCs/>
          <w:color w:val="9D75F2"/>
          <w:sz w:val="22"/>
          <w:szCs w:val="22"/>
        </w:rPr>
        <w:t xml:space="preserve">30%</w:t>
      </w:r>
      <w:r>
        <w:rPr>
          <w:rFonts w:ascii="Noi Grotesk" w:cs="Noi Grotesk" w:eastAsia="Noi Grotesk" w:hAnsi="Noi Grotesk"/>
          <w:color w:val="252430"/>
          <w:sz w:val="22"/>
          <w:szCs w:val="22"/>
        </w:rPr>
        <w:t xml:space="preserve">  — После сдачи бэкенда, Dispatch-модуля и базовых интеграций (601 927 ₽)</w:t>
      </w:r>
    </w:p>
    <w:p>
      <w:pPr>
        <w:spacing w:after="80"/>
      </w:pPr>
      <w:r>
        <w:rPr>
          <w:rFonts w:ascii="Noi Grotesk" w:cs="Noi Grotesk" w:eastAsia="Noi Grotesk" w:hAnsi="Noi Grotesk"/>
          <w:b/>
          <w:bCs/>
          <w:color w:val="9D75F2"/>
          <w:sz w:val="22"/>
          <w:szCs w:val="22"/>
        </w:rPr>
        <w:t xml:space="preserve">20%</w:t>
      </w:r>
      <w:r>
        <w:rPr>
          <w:rFonts w:ascii="Noi Grotesk" w:cs="Noi Grotesk" w:eastAsia="Noi Grotesk" w:hAnsi="Noi Grotesk"/>
          <w:color w:val="252430"/>
          <w:sz w:val="22"/>
          <w:szCs w:val="22"/>
        </w:rPr>
        <w:t xml:space="preserve">  — После проведения E2E-тестирования, пилота на 5 ресторанах и передачи кода (401 285 ₽)</w:t>
      </w:r>
    </w:p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8.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Управление рисками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tbl>
      <w:tblPr>
        <w:tblW w:type="dxa" w:w="9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82"/>
        <w:gridCol w:w="2410"/>
        <w:gridCol w:w="1446"/>
        <w:gridCol w:w="1928"/>
        <w:gridCol w:w="3374"/>
      </w:tblGrid>
      <w:tr>
        <w:trPr>
          <w:tblHeader/>
        </w:trPr>
        <w:tc>
          <w:tcPr>
            <w:tcW w:type="dxa" w:w="482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#</w:t>
            </w:r>
          </w:p>
        </w:tc>
        <w:tc>
          <w:tcPr>
            <w:tcW w:type="dxa" w:w="2410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Риск</w:t>
            </w:r>
          </w:p>
        </w:tc>
        <w:tc>
          <w:tcPr>
            <w:tcW w:type="dxa" w:w="1446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Уровень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Влияние</w:t>
            </w:r>
          </w:p>
        </w:tc>
        <w:tc>
          <w:tcPr>
            <w:tcW w:type="dxa" w:w="3374"/>
            <w:shd w:fill="F8F8F8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Noi Grotesk" w:cs="Noi Grotesk" w:eastAsia="Noi Grotesk" w:hAnsi="Noi Grotesk"/>
                <w:b/>
                <w:bCs/>
                <w:color w:val="252430"/>
                <w:sz w:val="18"/>
                <w:szCs w:val="18"/>
              </w:rPr>
              <w:t xml:space="preserve">Меры митигации</w:t>
            </w:r>
          </w:p>
        </w:tc>
      </w:tr>
      <w:tr>
        <w:tc>
          <w:tcPr>
            <w:tcW w:type="dxa" w:w="4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1</w:t>
            </w:r>
          </w:p>
        </w:tc>
        <w:tc>
          <w:tcPr>
            <w:tcW w:type="dxa" w:w="2410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Задержки и особенности интеграций с POS-системами ресторанов (iiko / r_keeper)</w:t>
            </w:r>
          </w:p>
        </w:tc>
        <w:tc>
          <w:tcPr>
            <w:tcW w:type="dxa" w:w="1446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Высокий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+15-20% к срокам интеграционного блока</w:t>
            </w:r>
          </w:p>
        </w:tc>
        <w:tc>
          <w:tcPr>
            <w:tcW w:type="dxa" w:w="337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Запросить тестовые доступы и API-ключи iiko/r_keeper до старта разработки; предусмотреть fallback-режим работы через веб-кабинет ресторана.</w:t>
            </w:r>
          </w:p>
        </w:tc>
      </w:tr>
      <w:tr>
        <w:tc>
          <w:tcPr>
            <w:tcW w:type="dxa" w:w="482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2</w:t>
            </w:r>
          </w:p>
        </w:tc>
        <w:tc>
          <w:tcPr>
            <w:tcW w:type="dxa" w:w="2410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Превышение лимитов или задержки API Яндекс Карт при пиковом гео-трекинге курьеров</w:t>
            </w:r>
          </w:p>
        </w:tc>
        <w:tc>
          <w:tcPr>
            <w:tcW w:type="dxa" w:w="1446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Средний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+5-10% к стоимости инфраструктуры</w:t>
            </w:r>
          </w:p>
        </w:tc>
        <w:tc>
          <w:tcPr>
            <w:tcW w:type="dxa" w:w="3374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Оптимизация интервалов WebSocket (5-10 сек), кэширование геокодинга и подбор оптимального коммерческого тарифа API Яндекс Карт.</w:t>
            </w:r>
          </w:p>
        </w:tc>
      </w:tr>
      <w:tr>
        <w:tc>
          <w:tcPr>
            <w:tcW w:type="dxa" w:w="4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3</w:t>
            </w:r>
          </w:p>
        </w:tc>
        <w:tc>
          <w:tcPr>
            <w:tcW w:type="dxa" w:w="2410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Сложности модерации мобильного приложения курьера и покупателя в App Store / Google Play</w:t>
            </w:r>
          </w:p>
        </w:tc>
        <w:tc>
          <w:tcPr>
            <w:tcW w:type="dxa" w:w="1446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Средний</w:t>
            </w:r>
          </w:p>
        </w:tc>
        <w:tc>
          <w:tcPr>
            <w:tcW w:type="dxa" w:w="1928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Задержка релиза на 1-2 недели</w:t>
            </w:r>
          </w:p>
        </w:tc>
        <w:tc>
          <w:tcPr>
            <w:tcW w:type="dxa" w:w="337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Заблаговременный аудит гайдлайнов Apple/Google по фоновому геолокейшну курьеров и тестовые прогоны сборки на первой фазе.</w:t>
            </w:r>
          </w:p>
        </w:tc>
      </w:tr>
      <w:tr>
        <w:tc>
          <w:tcPr>
            <w:tcW w:type="dxa" w:w="482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4</w:t>
            </w:r>
          </w:p>
        </w:tc>
        <w:tc>
          <w:tcPr>
            <w:tcW w:type="dxa" w:w="2410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Задержки со стороны банков и эквайринга при согласовании мульти-кассовой схемы 54-ФЗ и автовыплат</w:t>
            </w:r>
          </w:p>
        </w:tc>
        <w:tc>
          <w:tcPr>
            <w:tcW w:type="dxa" w:w="1446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Средний</w:t>
            </w:r>
          </w:p>
        </w:tc>
        <w:tc>
          <w:tcPr>
            <w:tcW w:type="dxa" w:w="1928"/>
            <w:shd w:fill="F8F8F8" w:val="clear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+10% к фазе тестирования финпотоков</w:t>
            </w:r>
          </w:p>
        </w:tc>
        <w:tc>
          <w:tcPr>
            <w:tcW w:type="dxa" w:w="3374"/>
            <w:shd w:fill="F8F8F8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Noi Grotesk" w:cs="Noi Grotesk" w:eastAsia="Noi Grotesk" w:hAnsi="Noi Grotesk"/>
                <w:b w:val="false"/>
                <w:bCs w:val="false"/>
                <w:color w:val="252430"/>
                <w:sz w:val="18"/>
                <w:szCs w:val="18"/>
              </w:rPr>
              <w:t xml:space="preserve">Согласование платежной схемы с юристами и техническими специалистами эквайера на этапе аналитики.</w:t>
            </w:r>
          </w:p>
        </w:tc>
      </w:tr>
    </w:tbl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9.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Наш подход к работе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100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Прозрачность оценки. </w:t>
      </w:r>
      <w:r>
        <w:rPr>
          <w:rFonts w:ascii="Noi Grotesk" w:cs="Noi Grotesk" w:eastAsia="Noi Grotesk" w:hAnsi="Noi Grotesk"/>
          <w:sz w:val="20"/>
          <w:szCs w:val="20"/>
        </w:rPr>
        <w:t xml:space="preserve">Метод PERT, обоснование каждой цифры. Детальная разбивка в приложении.</w:t>
      </w:r>
    </w:p>
    <w:p>
      <w:pPr>
        <w:spacing w:after="100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Этапность и приёмка. </w:t>
      </w:r>
      <w:r>
        <w:rPr>
          <w:rFonts w:ascii="Noi Grotesk" w:cs="Noi Grotesk" w:eastAsia="Noi Grotesk" w:hAnsi="Noi Grotesk"/>
          <w:sz w:val="20"/>
          <w:szCs w:val="20"/>
        </w:rPr>
        <w:t xml:space="preserve">Промежуточные демонстрации после каждого этапа.</w:t>
      </w:r>
    </w:p>
    <w:p>
      <w:pPr>
        <w:spacing w:after="100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Коммуникации. </w:t>
      </w:r>
      <w:r>
        <w:rPr>
          <w:rFonts w:ascii="Noi Grotesk" w:cs="Noi Grotesk" w:eastAsia="Noi Grotesk" w:hAnsi="Noi Grotesk"/>
          <w:sz w:val="20"/>
          <w:szCs w:val="20"/>
        </w:rPr>
        <w:t xml:space="preserve">Еженедельные встречи и таск-трекер; ведёт продакт-инженер как единая точка контакта.</w:t>
      </w:r>
    </w:p>
    <w:p>
      <w:pPr>
        <w:spacing w:after="100"/>
      </w:pPr>
      <w:r>
        <w:rPr>
          <w:rFonts w:ascii="Noi Grotesk" w:cs="Noi Grotesk" w:eastAsia="Noi Grotesk" w:hAnsi="Noi Grotesk"/>
          <w:b/>
          <w:bCs/>
          <w:sz w:val="20"/>
          <w:szCs w:val="20"/>
        </w:rPr>
        <w:t xml:space="preserve">Гарантии. </w:t>
      </w:r>
      <w:r>
        <w:rPr>
          <w:rFonts w:ascii="Noi Grotesk" w:cs="Noi Grotesk" w:eastAsia="Noi Grotesk" w:hAnsi="Noi Grotesk"/>
          <w:sz w:val="20"/>
          <w:szCs w:val="20"/>
        </w:rPr>
        <w:t xml:space="preserve">3 мес. после запуска, SLA, передача исходного кода.</w:t>
      </w:r>
    </w:p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10.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Что включено / не включено</w:t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Включено в стоимость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Разработка всех 6 модулей системы в соответствии с функциональными и техническими требованиями ТЗ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Интерактивный кликабельный прототип ключевых экранов на первой неделе проекта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Кроссплатформенные мобильные приложения на Flutter для покупателей и курьеров (iOS и Android)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Модуль автоматического каскадного распределения заказов (Dispatch) с WebSocket гео-трекингом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Интеграции с POS-системами (iiko/r_keeper), эквайрингом, кассами 54-ФЗ, Яндекс Картами и автовыплатами банка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Развёртывание CI/CD, настройка staging/prod серверов в РФ (152-ФЗ) и передача исходного кода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Не включено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Оплата лицензий сторонних сервисов (Яндекс Карты API, SMS-шлюз, эквайринг, облачные кассы)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Закупка оборудования для ресторанов и смартфонов для курьеров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Доработка внутренней конфигурации 1С на стороне заказчика (предоставляются готовые CSV/Excel файлы)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Продвижение приложения в App Store / Google Play и маркетинговые кампании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Heading2"/>
        <w:spacing w:after="100" w:before="160"/>
      </w:pPr>
      <w:r>
        <w:rPr>
          <w:rFonts w:ascii="Noi Grotesk" w:cs="Noi Grotesk" w:eastAsia="Noi Grotesk" w:hAnsi="Noi Grotesk"/>
          <w:b/>
          <w:bCs/>
          <w:color w:val="252430"/>
          <w:sz w:val="24"/>
          <w:szCs w:val="24"/>
        </w:rPr>
        <w:t xml:space="preserve">Доступно опциями (не входит в базовую стоимость)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Динамическое ценообразование и сюрж-коэффициенты (Surge Pricing) в пиковые часы — +121 600 ₽ (32 ч). Зачем: Позволяет гибко повышать стоимость доставки при высокой загрузке курьеров и в плохую погоду. В базе заложена фиксированная цена по тарифной сетке.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Модуль программ лояльности, накопительных баллов и реферальной системы — +152 000 ₽ (40 ч). Зачем: Мотивация повторных заказов и привлечение новых покупателей. В ТЗ прямо указан в разделе 'Вне объёма работ', вынесен в отдельную опцию.</w:t>
      </w:r>
    </w:p>
    <w:p>
      <w:pPr>
        <w:spacing w:after="40"/>
        <w:ind w:left="340" w:hanging="198"/>
      </w:pPr>
      <w:r>
        <w:rPr>
          <w:rFonts w:ascii="Noi Grotesk" w:cs="Noi Grotesk" w:eastAsia="Noi Grotesk" w:hAnsi="Noi Grotesk"/>
          <w:b/>
          <w:bCs/>
          <w:color w:val="9D75F2"/>
          <w:sz w:val="12"/>
          <w:szCs w:val="12"/>
        </w:rPr>
        <w:t xml:space="preserve">●</w:t>
      </w:r>
      <w:r>
        <w:rPr>
          <w:rFonts w:ascii="Noi Grotesk" w:cs="Noi Grotesk" w:eastAsia="Noi Grotesk" w:hAnsi="Noi Grotesk"/>
          <w:sz w:val="20"/>
          <w:szCs w:val="20"/>
        </w:rPr>
        <w:t xml:space="preserve">  </w:t>
      </w:r>
      <w:r>
        <w:rPr>
          <w:rFonts w:ascii="Noi Grotesk" w:cs="Noi Grotesk" w:eastAsia="Noi Grotesk" w:hAnsi="Noi Grotesk"/>
          <w:color w:val="252430"/>
          <w:sz w:val="20"/>
          <w:szCs w:val="20"/>
        </w:rPr>
        <w:t xml:space="preserve">Прямая двусторонняя синхронизация с 1С через EnterpriseData API — +136 800 ₽ (36 ч). Зачем: В ТЗ и уточнениях согласован файловый обмен (CSV/Excel). Прямой API-обмен с 1С ускорит фин-учёт, но требует доработок 1С у клиента.</w:t>
      </w:r>
    </w:p>
    <w:p>
      <w:r>
        <w:br w:type="page"/>
      </w:r>
    </w:p>
    <w:p>
      <w:pPr>
        <w:pStyle w:val="Heading1"/>
        <w:spacing w:after="120" w:before="200"/>
      </w:pPr>
      <w:r>
        <w:rPr>
          <w:rFonts w:ascii="Noi Grotesk" w:cs="Noi Grotesk" w:eastAsia="Noi Grotesk" w:hAnsi="Noi Grotesk"/>
          <w:b/>
          <w:bCs/>
          <w:color w:val="9D75F2"/>
          <w:sz w:val="30"/>
          <w:szCs w:val="30"/>
        </w:rPr>
        <w:t xml:space="preserve">11. </w:t>
      </w:r>
      <w:r>
        <w:rPr>
          <w:rFonts w:ascii="Noi Grotesk" w:cs="Noi Grotesk" w:eastAsia="Noi Grotesk" w:hAnsi="Noi Grotesk"/>
          <w:b/>
          <w:bCs/>
          <w:color w:val="252430"/>
          <w:sz w:val="30"/>
          <w:szCs w:val="30"/>
        </w:rPr>
        <w:t xml:space="preserve">Следующие шаги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Noi Grotesk" w:cs="Noi Grotesk" w:eastAsia="Noi Grotesk" w:hAnsi="Noi Grotesk"/>
          <w:sz w:val="20"/>
          <w:szCs w:val="20"/>
        </w:rPr>
        <w:t xml:space="preserve">Подписание договора и внесение первого этапа оплаты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Noi Grotesk" w:cs="Noi Grotesk" w:eastAsia="Noi Grotesk" w:hAnsi="Noi Grotesk"/>
          <w:sz w:val="20"/>
          <w:szCs w:val="20"/>
        </w:rPr>
        <w:t xml:space="preserve">Предоставление доступов к тестовым контурам iiko/r_keeper, эквайрингу и банковскому API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Noi Grotesk" w:cs="Noi Grotesk" w:eastAsia="Noi Grotesk" w:hAnsi="Noi Grotesk"/>
          <w:sz w:val="20"/>
          <w:szCs w:val="20"/>
        </w:rPr>
        <w:t xml:space="preserve">Проведение kick-off встречи с продакт-инженером и запуск проектирования кликабельного прототипа</w:t>
      </w:r>
    </w:p>
    <w:p>
      <w:pPr>
        <w:spacing w:after="0"/>
      </w:pPr>
      <w:r>
        <w:rPr>
          <w:rFonts w:ascii="Noi Grotesk" w:cs="Noi Grotesk" w:eastAsia="Noi Grotesk" w:hAnsi="Noi Grotesk"/>
          <w:sz w:val="20"/>
          <w:szCs w:val="20"/>
        </w:rPr>
        <w:t xml:space="preserve"/>
      </w:r>
    </w:p>
    <w:p>
      <w:pPr>
        <w:spacing w:after="80"/>
        <w:jc w:val="left"/>
      </w:pPr>
      <w:r>
        <w:rPr>
          <w:rFonts w:ascii="Noi Grotesk" w:cs="Noi Grotesk" w:eastAsia="Noi Grotesk" w:hAnsi="Noi Grotesk"/>
          <w:sz w:val="20"/>
          <w:szCs w:val="20"/>
        </w:rPr>
        <w:t xml:space="preserve">Мы готовы приступить к работе в течение 5 рабочих дней после подписания договора.</w:t>
      </w:r>
    </w:p>
    <w:sectPr>
      <w:headerReference w:type="default" r:id="rId7"/>
      <w:footerReference w:type="default" r:id="rId8"/>
      <w:pgSz w:w="11907" w:h="16840" w:orient="portrait"/>
      <w:pgMar w:top="1300" w:right="1134" w:bottom="13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Noi Grotesk" w:cs="Noi Grotesk" w:eastAsia="Noi Grotesk" w:hAnsi="Noi Grotesk"/>
        <w:color w:val="979DA5"/>
        <w:sz w:val="16"/>
        <w:szCs w:val="16"/>
      </w:rPr>
      <w:t xml:space="preserve">Коммерческое предложение — Сервис доставки еды «Сытый город» для ООО «Сытый город»  |  </w:t>
    </w:r>
    <w:r>
      <w:rPr>
        <w:rFonts w:ascii="Noi Grotesk" w:cs="Noi Grotesk" w:eastAsia="Noi Grotesk" w:hAnsi="Noi Grotesk"/>
        <w:color w:val="979DA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left"/>
    </w:pPr>
    <w:r>
      <w:rPr>
        <w:rFonts w:ascii="Noi Grotesk" w:cs="Noi Grotesk" w:eastAsia="Noi Grotesk" w:hAnsi="Noi Grotesk"/>
        <w:color w:val="979DA5"/>
        <w:sz w:val="16"/>
        <w:szCs w:val="16"/>
      </w:rPr>
      <w:t xml:space="preserve">ООО «Сытый город» · Сервис доставки еды «Сытый город»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1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i Grotesk" w:cs="Noi Grotesk" w:eastAsia="Noi Grotesk" w:hAnsi="Noi Grotesk"/>
        <w:color w:val="25243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spacing w:after="120" w:before="200"/>
    </w:pPr>
    <w:rPr>
      <w:rFonts w:ascii="Noi Grotesk" w:cs="Noi Grotesk" w:eastAsia="Noi Grotesk" w:hAnsi="Noi Grotesk"/>
      <w:b/>
      <w:bCs/>
      <w:color w:val="252430"/>
      <w:sz w:val="30"/>
      <w:szCs w:val="30"/>
    </w:rPr>
  </w:style>
  <w:style w:type="paragraph" w:styleId="Heading2">
    <w:name w:val="Heading 2"/>
    <w:basedOn w:val="Normal"/>
    <w:next w:val="Normal"/>
    <w:pPr>
      <w:spacing w:after="100" w:before="160"/>
    </w:pPr>
    <w:rPr>
      <w:rFonts w:ascii="Noi Grotesk" w:cs="Noi Grotesk" w:eastAsia="Noi Grotesk" w:hAnsi="Noi Grotesk"/>
      <w:b/>
      <w:bCs/>
      <w:color w:val="25243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bc6627438f7b6972c6aac7b89daba87cdd204f6b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2026-08-01T17:00:23.519Z</dcterms:created>
  <dcterms:modified xsi:type="dcterms:W3CDTF">2026-08-01T17:00:23.520Z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