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</w:p>
    <w:p>
      <w:pPr>
        <w:spacing w:after="200"/>
      </w:pPr>
    </w:p>
    <w:p>
      <w:pPr>
        <w:spacing w:after="200"/>
      </w:pPr>
    </w:p>
    <w:p>
      <w:pPr>
        <w:spacing w:after="200"/>
      </w:pPr>
    </w:p>
    <w:p>
      <w:pPr>
        <w:spacing w:after="200"/>
      </w:pPr>
    </w:p>
    <w:p>
      <w:pPr>
        <w:spacing w:after="200"/>
      </w:pPr>
    </w:p>
    <w:p>
      <w:pPr>
        <w:spacing w:after="200"/>
      </w:pPr>
    </w:p>
    <w:p>
      <w:pPr>
        <w:spacing w:after="200"/>
      </w:pPr>
    </w:p>
    <w:p>
      <w:pPr>
        <w:spacing w:after="80"/>
        <w:jc w:val="center"/>
      </w:pPr>
      <w:r>
        <w:rPr>
          <w:rFonts w:ascii="Arial" w:cs="Arial" w:eastAsia="Arial" w:hAnsi="Arial"/>
          <w:b/>
          <w:bCs/>
          <w:color w:val="1F4E79"/>
          <w:sz w:val="48"/>
          <w:szCs w:val="48"/>
        </w:rPr>
        <w:t xml:space="preserve">ФУНКЦИОНАЛЬНЫЕ И ТЕХНИЧЕСКИЕ</w:t>
      </w:r>
    </w:p>
    <w:p>
      <w:pPr>
        <w:spacing w:after="400"/>
        <w:jc w:val="center"/>
      </w:pPr>
      <w:r>
        <w:rPr>
          <w:rFonts w:ascii="Arial" w:cs="Arial" w:eastAsia="Arial" w:hAnsi="Arial"/>
          <w:b/>
          <w:bCs/>
          <w:color w:val="1F4E79"/>
          <w:sz w:val="48"/>
          <w:szCs w:val="48"/>
        </w:rPr>
        <w:t xml:space="preserve">ТРЕБОВАНИЯ</w:t>
      </w:r>
    </w:p>
    <w:p>
      <w:pPr>
        <w:spacing w:after="300"/>
        <w:jc w:val="center"/>
      </w:pPr>
      <w:r>
        <w:rPr>
          <w:rFonts w:ascii="Arial" w:cs="Arial" w:eastAsia="Arial" w:hAnsi="Arial"/>
          <w:b/>
          <w:bCs/>
          <w:color w:val="2E75B6"/>
          <w:sz w:val="32"/>
          <w:szCs w:val="32"/>
        </w:rPr>
        <w:t xml:space="preserve">Требования к системе</w:t>
      </w:r>
    </w:p>
    <w:p>
      <w:r>
        <w:br w:type="page"/>
      </w:r>
    </w:p>
    <w:p>
      <w:pPr>
        <w:spacing w:after="200" w:before="20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Статистика</w:t>
      </w:r>
    </w:p>
    <w:p>
      <w:pPr>
        <w:spacing w:after="200"/>
      </w:pPr>
    </w:p>
    <w:p>
      <w:pPr>
        <w:spacing w:after="100" w:before="20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Модуль 1: Авторизация и профили пользователей</w:t>
      </w:r>
    </w:p>
    <w:p>
      <w:pPr>
        <w:spacing w:after="120"/>
      </w:pPr>
      <w:r>
        <w:rPr>
          <w:rFonts w:ascii="Arial" w:cs="Arial" w:eastAsia="Arial" w:hAnsi="Arial"/>
          <w:color w:val="000000"/>
          <w:sz w:val="22"/>
          <w:szCs w:val="22"/>
        </w:rPr>
        <w:t xml:space="preserve">Модуль отвечает за аутентификацию пользователей всех ролей, управление персональными данными покупателей, а также разграничение прав доступа внутри системы.</w:t>
      </w:r>
    </w:p>
    <w:tbl>
      <w:tblPr>
        <w:tblW w:type="dxa" w:w="9923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1"/>
        <w:gridCol w:w="4933"/>
        <w:gridCol w:w="1474"/>
        <w:gridCol w:w="2495"/>
      </w:tblGrid>
      <w:tr>
        <w:trPr>
          <w:tblHeader/>
        </w:trPr>
        <w:tc>
          <w:tcPr>
            <w:tcW w:type="dxa" w:w="1021"/>
            <w:shd w:fill="1F4E79" w:color="1F4E79" w:val="solid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ID</w:t>
            </w:r>
          </w:p>
        </w:tc>
        <w:tc>
          <w:tcPr>
            <w:tcW w:type="dxa" w:w="4933"/>
            <w:shd w:fill="1F4E79" w:color="1F4E79" w:val="solid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Требование</w:t>
            </w:r>
          </w:p>
        </w:tc>
        <w:tc>
          <w:tcPr>
            <w:tcW w:type="dxa" w:w="1474"/>
            <w:shd w:fill="1F4E79" w:color="1F4E79" w:val="solid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Приоритет</w:t>
            </w:r>
          </w:p>
        </w:tc>
        <w:tc>
          <w:tcPr>
            <w:tcW w:type="dxa" w:w="2495"/>
            <w:shd w:fill="1F4E79" w:color="1F4E79" w:val="solid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Источник</w:t>
            </w:r>
          </w:p>
        </w:tc>
      </w:tr>
      <w:tr>
        <w:tc>
          <w:tcPr>
            <w:tcW w:type="dxa" w:w="1021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FR-001</w:t>
            </w:r>
          </w:p>
        </w:tc>
        <w:tc>
          <w:tcPr>
            <w:tcW w:type="dxa" w:w="4933"/>
            <w:shd w:fill="FFFFFF" w:color="FFFFFF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Вход и регистрация по SMS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обеспечивать регистрацию и аутентификацию пользователей (покупателей и курьеров) по номеру мобильного телефона с подтверждением через одноразовый SMS-код.</w:t>
            </w:r>
          </w:p>
        </w:tc>
        <w:tc>
          <w:tcPr>
            <w:tcW w:type="dxa" w:w="1474"/>
            <w:shd w:fill="FFFFFF" w:color="FFFFFF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228B22"/>
                <w:sz w:val="20"/>
                <w:szCs w:val="20"/>
              </w:rPr>
              <w:t xml:space="preserve">НИЗКАЯ</w:t>
            </w:r>
          </w:p>
        </w:tc>
        <w:tc>
          <w:tcPr>
            <w:tcW w:type="dxa" w:w="2495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4 ТЗ</w:t>
            </w:r>
          </w:p>
        </w:tc>
      </w:tr>
      <w:tr>
        <w:tc>
          <w:tcPr>
            <w:tcW w:type="dxa" w:w="1021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FR-002</w:t>
            </w:r>
          </w:p>
        </w:tc>
        <w:tc>
          <w:tcPr>
            <w:tcW w:type="dxa" w:w="4933"/>
            <w:shd w:fill="F2F2F2" w:color="F2F2F2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Профиль покупателя и сохранённые адреса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позволять покупателю редактировать данные профиля и сохранять список постоянных адресов доставки с детализацией (улица, дом, подъезд, этаж, домофон, комментарий).</w:t>
            </w:r>
          </w:p>
        </w:tc>
        <w:tc>
          <w:tcPr>
            <w:tcW w:type="dxa" w:w="1474"/>
            <w:shd w:fill="F2F2F2" w:color="F2F2F2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228B22"/>
                <w:sz w:val="20"/>
                <w:szCs w:val="20"/>
              </w:rPr>
              <w:t xml:space="preserve">НИЗКАЯ</w:t>
            </w:r>
          </w:p>
        </w:tc>
        <w:tc>
          <w:tcPr>
            <w:tcW w:type="dxa" w:w="2495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3.1 ТЗ</w:t>
            </w:r>
          </w:p>
        </w:tc>
      </w:tr>
      <w:tr>
        <w:tc>
          <w:tcPr>
            <w:tcW w:type="dxa" w:w="1021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FR-003</w:t>
            </w:r>
          </w:p>
        </w:tc>
        <w:tc>
          <w:tcPr>
            <w:tcW w:type="dxa" w:w="4933"/>
            <w:shd w:fill="FFFFFF" w:color="FFFFFF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Разграничение ролей в кабинете ресторана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поддерживать ролевую модель внутри кабинета ресторана: роль «Администратор» (полный доступ к меню, настройкам и отчётам) и роль «Повар» (доступ только к ленте заказов).</w:t>
            </w:r>
          </w:p>
        </w:tc>
        <w:tc>
          <w:tcPr>
            <w:tcW w:type="dxa" w:w="1474"/>
            <w:shd w:fill="FFFFFF" w:color="FFFFFF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6600"/>
                <w:sz w:val="20"/>
                <w:szCs w:val="20"/>
              </w:rPr>
              <w:t xml:space="preserve">СРЕДНЯЯ</w:t>
            </w:r>
          </w:p>
        </w:tc>
        <w:tc>
          <w:tcPr>
            <w:tcW w:type="dxa" w:w="2495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3.2 ТЗ</w:t>
            </w:r>
          </w:p>
        </w:tc>
      </w:tr>
      <w:tr>
        <w:tc>
          <w:tcPr>
            <w:tcW w:type="dxa" w:w="1021"/>
            <w:shd w:fill="FFFF99" w:color="FFFF99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FR-004</w:t>
            </w:r>
          </w:p>
        </w:tc>
        <w:tc>
          <w:tcPr>
            <w:tcW w:type="dxa" w:w="4933"/>
            <w:shd w:fill="FFFF99" w:color="FFFF99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Управление аккаунтами операторов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предоставлять возможность создания и управления учетными записями операторов площадки с разграничением прав доступа.</w:t>
            </w:r>
          </w:p>
        </w:tc>
        <w:tc>
          <w:tcPr>
            <w:tcW w:type="dxa" w:w="1474"/>
            <w:shd w:fill="FFFF99" w:color="FFFF99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228B22"/>
                <w:sz w:val="20"/>
                <w:szCs w:val="20"/>
              </w:rPr>
              <w:t xml:space="preserve">НИЗКАЯ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6600"/>
                <w:sz w:val="14"/>
                <w:szCs w:val="14"/>
              </w:rPr>
              <w:t xml:space="preserve">ПРЕДПОЛОЖЕНИЕ</w:t>
            </w:r>
          </w:p>
        </w:tc>
        <w:tc>
          <w:tcPr>
            <w:tcW w:type="dxa" w:w="2495"/>
            <w:shd w:fill="FFFF99" w:color="FFFF99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Необходимый функционал для безопасной работы нескольких операторов в единой панели администрирования.</w:t>
            </w:r>
          </w:p>
        </w:tc>
      </w:tr>
    </w:tbl>
    <w:p>
      <w:r>
        <w:br w:type="page"/>
      </w:r>
    </w:p>
    <w:p>
      <w:pPr>
        <w:spacing w:after="100" w:before="20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Модуль 2: Приложение покупателя (Web, iOS, Android)</w:t>
      </w:r>
    </w:p>
    <w:p>
      <w:pPr>
        <w:spacing w:after="120"/>
      </w:pPr>
      <w:r>
        <w:rPr>
          <w:rFonts w:ascii="Arial" w:cs="Arial" w:eastAsia="Arial" w:hAnsi="Arial"/>
          <w:color w:val="000000"/>
          <w:sz w:val="22"/>
          <w:szCs w:val="22"/>
        </w:rPr>
        <w:t xml:space="preserve">Модуль представляет собой клиентский интерфейс для выбора блюд из ресторанов, оформления заказов, онлайн-оплаты, отслеживания доставки и оценки сервиса.</w:t>
      </w:r>
    </w:p>
    <w:tbl>
      <w:tblPr>
        <w:tblW w:type="dxa" w:w="9923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1"/>
        <w:gridCol w:w="4933"/>
        <w:gridCol w:w="1474"/>
        <w:gridCol w:w="2495"/>
      </w:tblGrid>
      <w:tr>
        <w:trPr>
          <w:tblHeader/>
        </w:trPr>
        <w:tc>
          <w:tcPr>
            <w:tcW w:type="dxa" w:w="1021"/>
            <w:shd w:fill="1F4E79" w:color="1F4E79" w:val="solid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ID</w:t>
            </w:r>
          </w:p>
        </w:tc>
        <w:tc>
          <w:tcPr>
            <w:tcW w:type="dxa" w:w="4933"/>
            <w:shd w:fill="1F4E79" w:color="1F4E79" w:val="solid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Требование</w:t>
            </w:r>
          </w:p>
        </w:tc>
        <w:tc>
          <w:tcPr>
            <w:tcW w:type="dxa" w:w="1474"/>
            <w:shd w:fill="1F4E79" w:color="1F4E79" w:val="solid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Приоритет</w:t>
            </w:r>
          </w:p>
        </w:tc>
        <w:tc>
          <w:tcPr>
            <w:tcW w:type="dxa" w:w="2495"/>
            <w:shd w:fill="1F4E79" w:color="1F4E79" w:val="solid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Источник</w:t>
            </w:r>
          </w:p>
        </w:tc>
      </w:tr>
      <w:tr>
        <w:tc>
          <w:tcPr>
            <w:tcW w:type="dxa" w:w="1021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FR-005</w:t>
            </w:r>
          </w:p>
        </w:tc>
        <w:tc>
          <w:tcPr>
            <w:tcW w:type="dxa" w:w="4933"/>
            <w:shd w:fill="FFFFFF" w:color="FFFFFF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Каталог ресторанов и фильтрация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отображать список доступных ресторанов с возможностью фильтрации по типу кухни, среднему чеку, времени доставки и рейтингу.</w:t>
            </w:r>
          </w:p>
        </w:tc>
        <w:tc>
          <w:tcPr>
            <w:tcW w:type="dxa" w:w="1474"/>
            <w:shd w:fill="FFFFFF" w:color="FFFFFF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6600"/>
                <w:sz w:val="20"/>
                <w:szCs w:val="20"/>
              </w:rPr>
              <w:t xml:space="preserve">СРЕДНЯЯ</w:t>
            </w:r>
          </w:p>
        </w:tc>
        <w:tc>
          <w:tcPr>
            <w:tcW w:type="dxa" w:w="2495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3.1 ТЗ</w:t>
            </w:r>
          </w:p>
        </w:tc>
      </w:tr>
      <w:tr>
        <w:tc>
          <w:tcPr>
            <w:tcW w:type="dxa" w:w="1021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FR-006</w:t>
            </w:r>
          </w:p>
        </w:tc>
        <w:tc>
          <w:tcPr>
            <w:tcW w:type="dxa" w:w="4933"/>
            <w:shd w:fill="F2F2F2" w:color="F2F2F2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Поиск по ресторанам и блюдам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обеспечивать полнотекстовый поиск по названиям ресторанов и наименованиям конкретных блюд.</w:t>
            </w:r>
          </w:p>
        </w:tc>
        <w:tc>
          <w:tcPr>
            <w:tcW w:type="dxa" w:w="1474"/>
            <w:shd w:fill="F2F2F2" w:color="F2F2F2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6600"/>
                <w:sz w:val="20"/>
                <w:szCs w:val="20"/>
              </w:rPr>
              <w:t xml:space="preserve">СРЕДНЯЯ</w:t>
            </w:r>
          </w:p>
        </w:tc>
        <w:tc>
          <w:tcPr>
            <w:tcW w:type="dxa" w:w="2495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3.1 ТЗ</w:t>
            </w:r>
          </w:p>
        </w:tc>
      </w:tr>
      <w:tr>
        <w:tc>
          <w:tcPr>
            <w:tcW w:type="dxa" w:w="1021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FR-007</w:t>
            </w:r>
          </w:p>
        </w:tc>
        <w:tc>
          <w:tcPr>
            <w:tcW w:type="dxa" w:w="4933"/>
            <w:shd w:fill="FFFFFF" w:color="FFFFFF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Карточка ресторана и меню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отображать подробную информацию о ресторане (часы работы, минимальная сумма заказа, стоимость доставки) и его меню, структурированное по категориям.</w:t>
            </w:r>
          </w:p>
        </w:tc>
        <w:tc>
          <w:tcPr>
            <w:tcW w:type="dxa" w:w="1474"/>
            <w:shd w:fill="FFFFFF" w:color="FFFFFF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228B22"/>
                <w:sz w:val="20"/>
                <w:szCs w:val="20"/>
              </w:rPr>
              <w:t xml:space="preserve">НИЗКАЯ</w:t>
            </w:r>
          </w:p>
        </w:tc>
        <w:tc>
          <w:tcPr>
            <w:tcW w:type="dxa" w:w="2495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3.1 ТЗ</w:t>
            </w:r>
          </w:p>
        </w:tc>
      </w:tr>
      <w:tr>
        <w:tc>
          <w:tcPr>
            <w:tcW w:type="dxa" w:w="1021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FR-008</w:t>
            </w:r>
          </w:p>
        </w:tc>
        <w:tc>
          <w:tcPr>
            <w:tcW w:type="dxa" w:w="4933"/>
            <w:shd w:fill="F2F2F2" w:color="F2F2F2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Карточка блюда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отображать детальную информацию о блюде: фото, состав, вес, калорийность, признак остроты и список аллергенов.</w:t>
            </w:r>
          </w:p>
        </w:tc>
        <w:tc>
          <w:tcPr>
            <w:tcW w:type="dxa" w:w="1474"/>
            <w:shd w:fill="F2F2F2" w:color="F2F2F2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228B22"/>
                <w:sz w:val="20"/>
                <w:szCs w:val="20"/>
              </w:rPr>
              <w:t xml:space="preserve">НИЗКАЯ</w:t>
            </w:r>
          </w:p>
        </w:tc>
        <w:tc>
          <w:tcPr>
            <w:tcW w:type="dxa" w:w="2495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3.1 ТЗ</w:t>
            </w:r>
          </w:p>
        </w:tc>
      </w:tr>
      <w:tr>
        <w:tc>
          <w:tcPr>
            <w:tcW w:type="dxa" w:w="1021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FR-009</w:t>
            </w:r>
          </w:p>
        </w:tc>
        <w:tc>
          <w:tcPr>
            <w:tcW w:type="dxa" w:w="4933"/>
            <w:shd w:fill="FFFFFF" w:color="FFFFFF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Отображение позиций из стоп-листа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показывать позиции меню, находящиеся в стоп-листе ресторана, как неактивные (заблокированные для добавления в корзину), а не скрывать их из интерфейса.</w:t>
            </w:r>
          </w:p>
        </w:tc>
        <w:tc>
          <w:tcPr>
            <w:tcW w:type="dxa" w:w="1474"/>
            <w:shd w:fill="FFFFFF" w:color="FFFFFF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228B22"/>
                <w:sz w:val="20"/>
                <w:szCs w:val="20"/>
              </w:rPr>
              <w:t xml:space="preserve">НИЗКАЯ</w:t>
            </w:r>
          </w:p>
        </w:tc>
        <w:tc>
          <w:tcPr>
            <w:tcW w:type="dxa" w:w="2495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3.1 ТЗ</w:t>
            </w:r>
          </w:p>
        </w:tc>
      </w:tr>
      <w:tr>
        <w:tc>
          <w:tcPr>
            <w:tcW w:type="dxa" w:w="1021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FR-010</w:t>
            </w:r>
          </w:p>
        </w:tc>
        <w:tc>
          <w:tcPr>
            <w:tcW w:type="dxa" w:w="4933"/>
            <w:shd w:fill="F2F2F2" w:color="F2F2F2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Управление корзиной заказа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позволять покупателю добавлять позиции одного ресторана в корзину, изменять их количество, удалять позиции, добавлять текстовый комментарий к каждому блюду и контролировать достижение минимальной суммы заказа.</w:t>
            </w:r>
          </w:p>
        </w:tc>
        <w:tc>
          <w:tcPr>
            <w:tcW w:type="dxa" w:w="1474"/>
            <w:shd w:fill="F2F2F2" w:color="F2F2F2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6600"/>
                <w:sz w:val="20"/>
                <w:szCs w:val="20"/>
              </w:rPr>
              <w:t xml:space="preserve">СРЕДНЯЯ</w:t>
            </w:r>
          </w:p>
        </w:tc>
        <w:tc>
          <w:tcPr>
            <w:tcW w:type="dxa" w:w="2495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3.1 ТЗ</w:t>
            </w:r>
          </w:p>
        </w:tc>
      </w:tr>
      <w:tr>
        <w:tc>
          <w:tcPr>
            <w:tcW w:type="dxa" w:w="1021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FR-011</w:t>
            </w:r>
          </w:p>
        </w:tc>
        <w:tc>
          <w:tcPr>
            <w:tcW w:type="dxa" w:w="4933"/>
            <w:shd w:fill="FFFFFF" w:color="FFFFFF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Указание деталей доставки адреса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подтягивать подсказки улиц при вводе нового адреса и позволять указывать подъезд, этаж, номер домофона и текстовый комментарий для курьера.</w:t>
            </w:r>
          </w:p>
        </w:tc>
        <w:tc>
          <w:tcPr>
            <w:tcW w:type="dxa" w:w="1474"/>
            <w:shd w:fill="FFFFFF" w:color="FFFFFF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6600"/>
                <w:sz w:val="20"/>
                <w:szCs w:val="20"/>
              </w:rPr>
              <w:t xml:space="preserve">СРЕДНЯЯ</w:t>
            </w:r>
          </w:p>
        </w:tc>
        <w:tc>
          <w:tcPr>
            <w:tcW w:type="dxa" w:w="2495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3.1 ТЗ</w:t>
            </w:r>
          </w:p>
        </w:tc>
      </w:tr>
      <w:tr>
        <w:tc>
          <w:tcPr>
            <w:tcW w:type="dxa" w:w="1021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FR-012</w:t>
            </w:r>
          </w:p>
        </w:tc>
        <w:tc>
          <w:tcPr>
            <w:tcW w:type="dxa" w:w="4933"/>
            <w:shd w:fill="F2F2F2" w:color="F2F2F2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Выбор времени доставки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предоставлять выбор времени получения заказа: «Как можно быстрее» или «Ко времени» (отложенный заказ).</w:t>
            </w:r>
          </w:p>
        </w:tc>
        <w:tc>
          <w:tcPr>
            <w:tcW w:type="dxa" w:w="1474"/>
            <w:shd w:fill="F2F2F2" w:color="F2F2F2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228B22"/>
                <w:sz w:val="20"/>
                <w:szCs w:val="20"/>
              </w:rPr>
              <w:t xml:space="preserve">НИЗКАЯ</w:t>
            </w:r>
          </w:p>
        </w:tc>
        <w:tc>
          <w:tcPr>
            <w:tcW w:type="dxa" w:w="2495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3.1 ТЗ</w:t>
            </w:r>
          </w:p>
        </w:tc>
      </w:tr>
      <w:tr>
        <w:tc>
          <w:tcPr>
            <w:tcW w:type="dxa" w:w="1021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FR-013</w:t>
            </w:r>
          </w:p>
        </w:tc>
        <w:tc>
          <w:tcPr>
            <w:tcW w:type="dxa" w:w="4933"/>
            <w:shd w:fill="FFFFFF" w:color="FFFFFF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Применение промокодов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валидировать и применять промокоды (фиксированная скидка или процент) с учётом ограничений на минимальную сумму заказа и количество применений на одного пользователя.</w:t>
            </w:r>
          </w:p>
        </w:tc>
        <w:tc>
          <w:tcPr>
            <w:tcW w:type="dxa" w:w="1474"/>
            <w:shd w:fill="FFFFFF" w:color="FFFFFF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6600"/>
                <w:sz w:val="20"/>
                <w:szCs w:val="20"/>
              </w:rPr>
              <w:t xml:space="preserve">СРЕДНЯЯ</w:t>
            </w:r>
          </w:p>
        </w:tc>
        <w:tc>
          <w:tcPr>
            <w:tcW w:type="dxa" w:w="2495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3.1 ТЗ</w:t>
            </w:r>
          </w:p>
        </w:tc>
      </w:tr>
      <w:tr>
        <w:tc>
          <w:tcPr>
            <w:tcW w:type="dxa" w:w="1021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FR-014</w:t>
            </w:r>
          </w:p>
        </w:tc>
        <w:tc>
          <w:tcPr>
            <w:tcW w:type="dxa" w:w="4933"/>
            <w:shd w:fill="F2F2F2" w:color="F2F2F2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Способы оплаты и фискализация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поддерживать оплату онлайн банковской картой через эквайринг или оплату наличными курьеру при получении, с последующей отправкой электронного чека по 54-ФЗ покупателю.</w:t>
            </w:r>
          </w:p>
        </w:tc>
        <w:tc>
          <w:tcPr>
            <w:tcW w:type="dxa" w:w="1474"/>
            <w:shd w:fill="F2F2F2" w:color="F2F2F2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0000"/>
                <w:sz w:val="20"/>
                <w:szCs w:val="20"/>
              </w:rPr>
              <w:t xml:space="preserve">ВЫСОКАЯ</w:t>
            </w:r>
          </w:p>
        </w:tc>
        <w:tc>
          <w:tcPr>
            <w:tcW w:type="dxa" w:w="2495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3.1, 4 ТЗ</w:t>
            </w:r>
          </w:p>
        </w:tc>
      </w:tr>
      <w:tr>
        <w:tc>
          <w:tcPr>
            <w:tcW w:type="dxa" w:w="1021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FR-015</w:t>
            </w:r>
          </w:p>
        </w:tc>
        <w:tc>
          <w:tcPr>
            <w:tcW w:type="dxa" w:w="4933"/>
            <w:shd w:fill="FFFFFF" w:color="FFFFFF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Отслеживание статуса заказа и Push-уведомления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отправлять Push-уведомления и отображать текущий статус заказа в режиме реального времени (принят → готовится → передан курьеру → в пути → доставлен).</w:t>
            </w:r>
          </w:p>
        </w:tc>
        <w:tc>
          <w:tcPr>
            <w:tcW w:type="dxa" w:w="1474"/>
            <w:shd w:fill="FFFFFF" w:color="FFFFFF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6600"/>
                <w:sz w:val="20"/>
                <w:szCs w:val="20"/>
              </w:rPr>
              <w:t xml:space="preserve">СРЕДНЯЯ</w:t>
            </w:r>
          </w:p>
        </w:tc>
        <w:tc>
          <w:tcPr>
            <w:tcW w:type="dxa" w:w="2495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3.1 ТЗ</w:t>
            </w:r>
          </w:p>
        </w:tc>
      </w:tr>
      <w:tr>
        <w:tc>
          <w:tcPr>
            <w:tcW w:type="dxa" w:w="1021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FR-016</w:t>
            </w:r>
          </w:p>
        </w:tc>
        <w:tc>
          <w:tcPr>
            <w:tcW w:type="dxa" w:w="4933"/>
            <w:shd w:fill="F2F2F2" w:color="F2F2F2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Трекинг курьера на карте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отображать текущее геолокационное положение курьера на интерактивной карте после перехода заказа в статус «в пути».</w:t>
            </w:r>
          </w:p>
        </w:tc>
        <w:tc>
          <w:tcPr>
            <w:tcW w:type="dxa" w:w="1474"/>
            <w:shd w:fill="F2F2F2" w:color="F2F2F2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0000"/>
                <w:sz w:val="20"/>
                <w:szCs w:val="20"/>
              </w:rPr>
              <w:t xml:space="preserve">ВЫСОКАЯ</w:t>
            </w:r>
          </w:p>
        </w:tc>
        <w:tc>
          <w:tcPr>
            <w:tcW w:type="dxa" w:w="2495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3.1 ТЗ</w:t>
            </w:r>
          </w:p>
        </w:tc>
      </w:tr>
      <w:tr>
        <w:tc>
          <w:tcPr>
            <w:tcW w:type="dxa" w:w="1021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FR-017</w:t>
            </w:r>
          </w:p>
        </w:tc>
        <w:tc>
          <w:tcPr>
            <w:tcW w:type="dxa" w:w="4933"/>
            <w:shd w:fill="FFFFFF" w:color="FFFFFF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Оценка заказа и отзывы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предоставлять возможность раздельной оценки качества еды и работы доставки (по шкале/рейтингу) с возможностью добавления текстового отзыва.</w:t>
            </w:r>
          </w:p>
        </w:tc>
        <w:tc>
          <w:tcPr>
            <w:tcW w:type="dxa" w:w="1474"/>
            <w:shd w:fill="FFFFFF" w:color="FFFFFF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228B22"/>
                <w:sz w:val="20"/>
                <w:szCs w:val="20"/>
              </w:rPr>
              <w:t xml:space="preserve">НИЗКАЯ</w:t>
            </w:r>
          </w:p>
        </w:tc>
        <w:tc>
          <w:tcPr>
            <w:tcW w:type="dxa" w:w="2495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3.1 ТЗ</w:t>
            </w:r>
          </w:p>
        </w:tc>
      </w:tr>
      <w:tr>
        <w:tc>
          <w:tcPr>
            <w:tcW w:type="dxa" w:w="1021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FR-018</w:t>
            </w:r>
          </w:p>
        </w:tc>
        <w:tc>
          <w:tcPr>
            <w:tcW w:type="dxa" w:w="4933"/>
            <w:shd w:fill="F2F2F2" w:color="F2F2F2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История заказов и повтор заказа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хранить историю всех прошлых заказов пользователя и предоставлять возможность повторного добавления всех позиций заказа в корзину в один клик.</w:t>
            </w:r>
          </w:p>
        </w:tc>
        <w:tc>
          <w:tcPr>
            <w:tcW w:type="dxa" w:w="1474"/>
            <w:shd w:fill="F2F2F2" w:color="F2F2F2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228B22"/>
                <w:sz w:val="20"/>
                <w:szCs w:val="20"/>
              </w:rPr>
              <w:t xml:space="preserve">НИЗКАЯ</w:t>
            </w:r>
          </w:p>
        </w:tc>
        <w:tc>
          <w:tcPr>
            <w:tcW w:type="dxa" w:w="2495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3.1 ТЗ</w:t>
            </w:r>
          </w:p>
        </w:tc>
      </w:tr>
    </w:tbl>
    <w:p>
      <w:r>
        <w:br w:type="page"/>
      </w:r>
    </w:p>
    <w:p>
      <w:pPr>
        <w:spacing w:after="100" w:before="20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Модуль 3: Личный кабинет ресторана</w:t>
      </w:r>
    </w:p>
    <w:p>
      <w:pPr>
        <w:spacing w:after="120"/>
      </w:pPr>
      <w:r>
        <w:rPr>
          <w:rFonts w:ascii="Arial" w:cs="Arial" w:eastAsia="Arial" w:hAnsi="Arial"/>
          <w:color w:val="000000"/>
          <w:sz w:val="22"/>
          <w:szCs w:val="22"/>
        </w:rPr>
        <w:t xml:space="preserve">Модуль представляет собой веб-интерфейс для сотрудников ресторанов, позволяющий управлять номенклатурой меню, стоп-листами, принимать и контролировать готовность заказов.</w:t>
      </w:r>
    </w:p>
    <w:tbl>
      <w:tblPr>
        <w:tblW w:type="dxa" w:w="9923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1"/>
        <w:gridCol w:w="4933"/>
        <w:gridCol w:w="1474"/>
        <w:gridCol w:w="2495"/>
      </w:tblGrid>
      <w:tr>
        <w:trPr>
          <w:tblHeader/>
        </w:trPr>
        <w:tc>
          <w:tcPr>
            <w:tcW w:type="dxa" w:w="1021"/>
            <w:shd w:fill="1F4E79" w:color="1F4E79" w:val="solid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ID</w:t>
            </w:r>
          </w:p>
        </w:tc>
        <w:tc>
          <w:tcPr>
            <w:tcW w:type="dxa" w:w="4933"/>
            <w:shd w:fill="1F4E79" w:color="1F4E79" w:val="solid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Требование</w:t>
            </w:r>
          </w:p>
        </w:tc>
        <w:tc>
          <w:tcPr>
            <w:tcW w:type="dxa" w:w="1474"/>
            <w:shd w:fill="1F4E79" w:color="1F4E79" w:val="solid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Приоритет</w:t>
            </w:r>
          </w:p>
        </w:tc>
        <w:tc>
          <w:tcPr>
            <w:tcW w:type="dxa" w:w="2495"/>
            <w:shd w:fill="1F4E79" w:color="1F4E79" w:val="solid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Источник</w:t>
            </w:r>
          </w:p>
        </w:tc>
      </w:tr>
      <w:tr>
        <w:tc>
          <w:tcPr>
            <w:tcW w:type="dxa" w:w="1021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FR-019</w:t>
            </w:r>
          </w:p>
        </w:tc>
        <w:tc>
          <w:tcPr>
            <w:tcW w:type="dxa" w:w="4933"/>
            <w:shd w:fill="FFFFFF" w:color="FFFFFF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Управление меню ресторана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позволять администратору ресторана создавать и редактировать категории, наименования блюд, цены, фотографии, составы, аллергены и метку «острое».</w:t>
            </w:r>
          </w:p>
        </w:tc>
        <w:tc>
          <w:tcPr>
            <w:tcW w:type="dxa" w:w="1474"/>
            <w:shd w:fill="FFFFFF" w:color="FFFFFF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6600"/>
                <w:sz w:val="20"/>
                <w:szCs w:val="20"/>
              </w:rPr>
              <w:t xml:space="preserve">СРЕДНЯЯ</w:t>
            </w:r>
          </w:p>
        </w:tc>
        <w:tc>
          <w:tcPr>
            <w:tcW w:type="dxa" w:w="2495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3.2 ТЗ</w:t>
            </w:r>
          </w:p>
        </w:tc>
      </w:tr>
      <w:tr>
        <w:tc>
          <w:tcPr>
            <w:tcW w:type="dxa" w:w="1021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FR-020</w:t>
            </w:r>
          </w:p>
        </w:tc>
        <w:tc>
          <w:tcPr>
            <w:tcW w:type="dxa" w:w="4933"/>
            <w:shd w:fill="F2F2F2" w:color="F2F2F2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Управление стоп-листом с автовозвратом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позволять временно снимать блюда с продажи (переносить в стоп-лист) и автоматически возвращать их в доступное меню на следующий день.</w:t>
            </w:r>
          </w:p>
        </w:tc>
        <w:tc>
          <w:tcPr>
            <w:tcW w:type="dxa" w:w="1474"/>
            <w:shd w:fill="F2F2F2" w:color="F2F2F2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6600"/>
                <w:sz w:val="20"/>
                <w:szCs w:val="20"/>
              </w:rPr>
              <w:t xml:space="preserve">СРЕДНЯЯ</w:t>
            </w:r>
          </w:p>
        </w:tc>
        <w:tc>
          <w:tcPr>
            <w:tcW w:type="dxa" w:w="2495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3.2 ТЗ</w:t>
            </w:r>
          </w:p>
        </w:tc>
      </w:tr>
      <w:tr>
        <w:tc>
          <w:tcPr>
            <w:tcW w:type="dxa" w:w="1021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FR-021</w:t>
            </w:r>
          </w:p>
        </w:tc>
        <w:tc>
          <w:tcPr>
            <w:tcW w:type="dxa" w:w="4933"/>
            <w:shd w:fill="FFFFFF" w:color="FFFFFF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Лента входящих заказов со звуковым оповещением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выводить поступающие заказы в виде оперативной ленты и сопровождать появление нового заказа громким звуковым сигналом.</w:t>
            </w:r>
          </w:p>
        </w:tc>
        <w:tc>
          <w:tcPr>
            <w:tcW w:type="dxa" w:w="1474"/>
            <w:shd w:fill="FFFFFF" w:color="FFFFFF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6600"/>
                <w:sz w:val="20"/>
                <w:szCs w:val="20"/>
              </w:rPr>
              <w:t xml:space="preserve">СРЕДНЯЯ</w:t>
            </w:r>
          </w:p>
        </w:tc>
        <w:tc>
          <w:tcPr>
            <w:tcW w:type="dxa" w:w="2495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3.2 ТЗ</w:t>
            </w:r>
          </w:p>
        </w:tc>
      </w:tr>
      <w:tr>
        <w:tc>
          <w:tcPr>
            <w:tcW w:type="dxa" w:w="1021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FR-022</w:t>
            </w:r>
          </w:p>
        </w:tc>
        <w:tc>
          <w:tcPr>
            <w:tcW w:type="dxa" w:w="4933"/>
            <w:shd w:fill="F2F2F2" w:color="F2F2F2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Приём и отклонение заказов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позволять ресторану принимать заказ с явным указанием времени приготовления (в минутах) или отклонять заказ с обязательным выбором/указанием причины.</w:t>
            </w:r>
          </w:p>
        </w:tc>
        <w:tc>
          <w:tcPr>
            <w:tcW w:type="dxa" w:w="1474"/>
            <w:shd w:fill="F2F2F2" w:color="F2F2F2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6600"/>
                <w:sz w:val="20"/>
                <w:szCs w:val="20"/>
              </w:rPr>
              <w:t xml:space="preserve">СРЕДНЯЯ</w:t>
            </w:r>
          </w:p>
        </w:tc>
        <w:tc>
          <w:tcPr>
            <w:tcW w:type="dxa" w:w="2495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3.2 ТЗ</w:t>
            </w:r>
          </w:p>
        </w:tc>
      </w:tr>
      <w:tr>
        <w:tc>
          <w:tcPr>
            <w:tcW w:type="dxa" w:w="1021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FR-023</w:t>
            </w:r>
          </w:p>
        </w:tc>
        <w:tc>
          <w:tcPr>
            <w:tcW w:type="dxa" w:w="4933"/>
            <w:shd w:fill="FFFFFF" w:color="FFFFFF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Отметка о готовности заказа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предоставлять кнопку перевода заказа в статус «заказ готов, ждёт курьера» для оповещения назначенной службы доставки.</w:t>
            </w:r>
          </w:p>
        </w:tc>
        <w:tc>
          <w:tcPr>
            <w:tcW w:type="dxa" w:w="1474"/>
            <w:shd w:fill="FFFFFF" w:color="FFFFFF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228B22"/>
                <w:sz w:val="20"/>
                <w:szCs w:val="20"/>
              </w:rPr>
              <w:t xml:space="preserve">НИЗКАЯ</w:t>
            </w:r>
          </w:p>
        </w:tc>
        <w:tc>
          <w:tcPr>
            <w:tcW w:type="dxa" w:w="2495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3.2 ТЗ</w:t>
            </w:r>
          </w:p>
        </w:tc>
      </w:tr>
      <w:tr>
        <w:tc>
          <w:tcPr>
            <w:tcW w:type="dxa" w:w="1021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FR-024</w:t>
            </w:r>
          </w:p>
        </w:tc>
        <w:tc>
          <w:tcPr>
            <w:tcW w:type="dxa" w:w="4933"/>
            <w:shd w:fill="F2F2F2" w:color="F2F2F2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Настройка расписания работы ресторана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позволять задавать график работы ресторана, включая регулярные часы, перерывы и праздничные/нерабочие дни.</w:t>
            </w:r>
          </w:p>
        </w:tc>
        <w:tc>
          <w:tcPr>
            <w:tcW w:type="dxa" w:w="1474"/>
            <w:shd w:fill="F2F2F2" w:color="F2F2F2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228B22"/>
                <w:sz w:val="20"/>
                <w:szCs w:val="20"/>
              </w:rPr>
              <w:t xml:space="preserve">НИЗКАЯ</w:t>
            </w:r>
          </w:p>
        </w:tc>
        <w:tc>
          <w:tcPr>
            <w:tcW w:type="dxa" w:w="2495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3.2 ТЗ</w:t>
            </w:r>
          </w:p>
        </w:tc>
      </w:tr>
      <w:tr>
        <w:tc>
          <w:tcPr>
            <w:tcW w:type="dxa" w:w="1021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FR-025</w:t>
            </w:r>
          </w:p>
        </w:tc>
        <w:tc>
          <w:tcPr>
            <w:tcW w:type="dxa" w:w="4933"/>
            <w:shd w:fill="FFFFFF" w:color="FFFFFF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Отчётность ресторана по выручке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формировать отчёт для ресторана за выбранный период с отображением количества заказов, суммарной выручки, размера удержанной комиссионной ставки и итоговой суммы к перечислению.</w:t>
            </w:r>
          </w:p>
        </w:tc>
        <w:tc>
          <w:tcPr>
            <w:tcW w:type="dxa" w:w="1474"/>
            <w:shd w:fill="FFFFFF" w:color="FFFFFF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6600"/>
                <w:sz w:val="20"/>
                <w:szCs w:val="20"/>
              </w:rPr>
              <w:t xml:space="preserve">СРЕДНЯЯ</w:t>
            </w:r>
          </w:p>
        </w:tc>
        <w:tc>
          <w:tcPr>
            <w:tcW w:type="dxa" w:w="2495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3.2 ТЗ</w:t>
            </w:r>
          </w:p>
        </w:tc>
      </w:tr>
    </w:tbl>
    <w:p>
      <w:r>
        <w:br w:type="page"/>
      </w:r>
    </w:p>
    <w:p>
      <w:pPr>
        <w:spacing w:after="100" w:before="20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Модуль 4: Мобильное приложение курьера (iOS, Android)</w:t>
      </w:r>
    </w:p>
    <w:p>
      <w:pPr>
        <w:spacing w:after="120"/>
      </w:pPr>
      <w:r>
        <w:rPr>
          <w:rFonts w:ascii="Arial" w:cs="Arial" w:eastAsia="Arial" w:hAnsi="Arial"/>
          <w:color w:val="000000"/>
          <w:sz w:val="22"/>
          <w:szCs w:val="22"/>
        </w:rPr>
        <w:t xml:space="preserve">Модуль предназначен для работы курьеров: управление рабочими сменами, получение заказов, построение маршрутов и подтверждение факта передачи заказа.</w:t>
      </w:r>
    </w:p>
    <w:tbl>
      <w:tblPr>
        <w:tblW w:type="dxa" w:w="9923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1"/>
        <w:gridCol w:w="4933"/>
        <w:gridCol w:w="1474"/>
        <w:gridCol w:w="2495"/>
      </w:tblGrid>
      <w:tr>
        <w:trPr>
          <w:tblHeader/>
        </w:trPr>
        <w:tc>
          <w:tcPr>
            <w:tcW w:type="dxa" w:w="1021"/>
            <w:shd w:fill="1F4E79" w:color="1F4E79" w:val="solid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ID</w:t>
            </w:r>
          </w:p>
        </w:tc>
        <w:tc>
          <w:tcPr>
            <w:tcW w:type="dxa" w:w="4933"/>
            <w:shd w:fill="1F4E79" w:color="1F4E79" w:val="solid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Требование</w:t>
            </w:r>
          </w:p>
        </w:tc>
        <w:tc>
          <w:tcPr>
            <w:tcW w:type="dxa" w:w="1474"/>
            <w:shd w:fill="1F4E79" w:color="1F4E79" w:val="solid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Приоритет</w:t>
            </w:r>
          </w:p>
        </w:tc>
        <w:tc>
          <w:tcPr>
            <w:tcW w:type="dxa" w:w="2495"/>
            <w:shd w:fill="1F4E79" w:color="1F4E79" w:val="solid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Источник</w:t>
            </w:r>
          </w:p>
        </w:tc>
      </w:tr>
      <w:tr>
        <w:tc>
          <w:tcPr>
            <w:tcW w:type="dxa" w:w="1021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FR-026</w:t>
            </w:r>
          </w:p>
        </w:tc>
        <w:tc>
          <w:tcPr>
            <w:tcW w:type="dxa" w:w="4933"/>
            <w:shd w:fill="FFFFFF" w:color="FFFFFF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Управление сменой курьера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позволять курьеру открывать (выходить на линию) и закрывать рабочую смену.</w:t>
            </w:r>
          </w:p>
        </w:tc>
        <w:tc>
          <w:tcPr>
            <w:tcW w:type="dxa" w:w="1474"/>
            <w:shd w:fill="FFFFFF" w:color="FFFFFF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228B22"/>
                <w:sz w:val="20"/>
                <w:szCs w:val="20"/>
              </w:rPr>
              <w:t xml:space="preserve">НИЗКАЯ</w:t>
            </w:r>
          </w:p>
        </w:tc>
        <w:tc>
          <w:tcPr>
            <w:tcW w:type="dxa" w:w="2495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3.3 ТЗ</w:t>
            </w:r>
          </w:p>
        </w:tc>
      </w:tr>
      <w:tr>
        <w:tc>
          <w:tcPr>
            <w:tcW w:type="dxa" w:w="1021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FR-027</w:t>
            </w:r>
          </w:p>
        </w:tc>
        <w:tc>
          <w:tcPr>
            <w:tcW w:type="dxa" w:w="4933"/>
            <w:shd w:fill="F2F2F2" w:color="F2F2F2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Приём и отклонение предложений о заказах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отображать курьеру предложение о заказе с информацией об адресе ресторана, адресе покупателя и сумме вознаграждения, предоставляя 60 секунд на принятие или отказ.</w:t>
            </w:r>
          </w:p>
        </w:tc>
        <w:tc>
          <w:tcPr>
            <w:tcW w:type="dxa" w:w="1474"/>
            <w:shd w:fill="F2F2F2" w:color="F2F2F2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6600"/>
                <w:sz w:val="20"/>
                <w:szCs w:val="20"/>
              </w:rPr>
              <w:t xml:space="preserve">СРЕДНЯЯ</w:t>
            </w:r>
          </w:p>
        </w:tc>
        <w:tc>
          <w:tcPr>
            <w:tcW w:type="dxa" w:w="2495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3.3 ТЗ</w:t>
            </w:r>
          </w:p>
        </w:tc>
      </w:tr>
      <w:tr>
        <w:tc>
          <w:tcPr>
            <w:tcW w:type="dxa" w:w="1021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FR-028</w:t>
            </w:r>
          </w:p>
        </w:tc>
        <w:tc>
          <w:tcPr>
            <w:tcW w:type="dxa" w:w="4933"/>
            <w:shd w:fill="FFFFFF" w:color="FFFFFF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Построение маршрута на карте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прокладывать и отображать оптимальный маршрут движения курьера на карте до ресторана, а затем от ресторана до адреса покупателя.</w:t>
            </w:r>
          </w:p>
        </w:tc>
        <w:tc>
          <w:tcPr>
            <w:tcW w:type="dxa" w:w="1474"/>
            <w:shd w:fill="FFFFFF" w:color="FFFFFF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0000"/>
                <w:sz w:val="20"/>
                <w:szCs w:val="20"/>
              </w:rPr>
              <w:t xml:space="preserve">ВЫСОКАЯ</w:t>
            </w:r>
          </w:p>
        </w:tc>
        <w:tc>
          <w:tcPr>
            <w:tcW w:type="dxa" w:w="2495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3.3 ТЗ</w:t>
            </w:r>
          </w:p>
        </w:tc>
      </w:tr>
      <w:tr>
        <w:tc>
          <w:tcPr>
            <w:tcW w:type="dxa" w:w="1021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FR-029</w:t>
            </w:r>
          </w:p>
        </w:tc>
        <w:tc>
          <w:tcPr>
            <w:tcW w:type="dxa" w:w="4933"/>
            <w:shd w:fill="F2F2F2" w:color="F2F2F2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Подтверждение получения заказа в ресторане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фиксировать момент забора заказа курьером в ресторане по нажатию кнопки подтверждения.</w:t>
            </w:r>
          </w:p>
        </w:tc>
        <w:tc>
          <w:tcPr>
            <w:tcW w:type="dxa" w:w="1474"/>
            <w:shd w:fill="F2F2F2" w:color="F2F2F2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228B22"/>
                <w:sz w:val="20"/>
                <w:szCs w:val="20"/>
              </w:rPr>
              <w:t xml:space="preserve">НИЗКАЯ</w:t>
            </w:r>
          </w:p>
        </w:tc>
        <w:tc>
          <w:tcPr>
            <w:tcW w:type="dxa" w:w="2495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3.3 ТЗ</w:t>
            </w:r>
          </w:p>
        </w:tc>
      </w:tr>
      <w:tr>
        <w:tc>
          <w:tcPr>
            <w:tcW w:type="dxa" w:w="1021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FR-030</w:t>
            </w:r>
          </w:p>
        </w:tc>
        <w:tc>
          <w:tcPr>
            <w:tcW w:type="dxa" w:w="4933"/>
            <w:shd w:fill="FFFFFF" w:color="FFFFFF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Подтверждение передачи заказа покупателю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требовать подтверждения выполнения доставки путем ввода цифрового кода от покупателя или загрузки фотографии доставленного заказа.</w:t>
            </w:r>
          </w:p>
        </w:tc>
        <w:tc>
          <w:tcPr>
            <w:tcW w:type="dxa" w:w="1474"/>
            <w:shd w:fill="FFFFFF" w:color="FFFFFF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6600"/>
                <w:sz w:val="20"/>
                <w:szCs w:val="20"/>
              </w:rPr>
              <w:t xml:space="preserve">СРЕДНЯЯ</w:t>
            </w:r>
          </w:p>
        </w:tc>
        <w:tc>
          <w:tcPr>
            <w:tcW w:type="dxa" w:w="2495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3.3 ТЗ</w:t>
            </w:r>
          </w:p>
        </w:tc>
      </w:tr>
      <w:tr>
        <w:tc>
          <w:tcPr>
            <w:tcW w:type="dxa" w:w="1021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FR-031</w:t>
            </w:r>
          </w:p>
        </w:tc>
        <w:tc>
          <w:tcPr>
            <w:tcW w:type="dxa" w:w="4933"/>
            <w:shd w:fill="F2F2F2" w:color="F2F2F2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Фиксация приёма наличных средств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позволять курьеру фиксировать факт и сумму принятых наличных денежных средств от покупателя.</w:t>
            </w:r>
          </w:p>
        </w:tc>
        <w:tc>
          <w:tcPr>
            <w:tcW w:type="dxa" w:w="1474"/>
            <w:shd w:fill="F2F2F2" w:color="F2F2F2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228B22"/>
                <w:sz w:val="20"/>
                <w:szCs w:val="20"/>
              </w:rPr>
              <w:t xml:space="preserve">НИЗКАЯ</w:t>
            </w:r>
          </w:p>
        </w:tc>
        <w:tc>
          <w:tcPr>
            <w:tcW w:type="dxa" w:w="2495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3.3 ТЗ</w:t>
            </w:r>
          </w:p>
        </w:tc>
      </w:tr>
      <w:tr>
        <w:tc>
          <w:tcPr>
            <w:tcW w:type="dxa" w:w="1021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FR-032</w:t>
            </w:r>
          </w:p>
        </w:tc>
        <w:tc>
          <w:tcPr>
            <w:tcW w:type="dxa" w:w="4933"/>
            <w:shd w:fill="FFFFFF" w:color="FFFFFF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Экран заработка и история выплат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отображать курьеру детальный баланс заработанных средств за текущую смену, за неделю, а также историю произведённых выплат.</w:t>
            </w:r>
          </w:p>
        </w:tc>
        <w:tc>
          <w:tcPr>
            <w:tcW w:type="dxa" w:w="1474"/>
            <w:shd w:fill="FFFFFF" w:color="FFFFFF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228B22"/>
                <w:sz w:val="20"/>
                <w:szCs w:val="20"/>
              </w:rPr>
              <w:t xml:space="preserve">НИЗКАЯ</w:t>
            </w:r>
          </w:p>
        </w:tc>
        <w:tc>
          <w:tcPr>
            <w:tcW w:type="dxa" w:w="2495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3.3 ТЗ</w:t>
            </w:r>
          </w:p>
        </w:tc>
      </w:tr>
    </w:tbl>
    <w:p>
      <w:r>
        <w:br w:type="page"/>
      </w:r>
    </w:p>
    <w:p>
      <w:pPr>
        <w:spacing w:after="100" w:before="20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Модуль 5: Алгоритм автоматического распределения заказов (Dispatch)</w:t>
      </w:r>
    </w:p>
    <w:p>
      <w:pPr>
        <w:spacing w:after="120"/>
      </w:pPr>
      <w:r>
        <w:rPr>
          <w:rFonts w:ascii="Arial" w:cs="Arial" w:eastAsia="Arial" w:hAnsi="Arial"/>
          <w:color w:val="000000"/>
          <w:sz w:val="22"/>
          <w:szCs w:val="22"/>
        </w:rPr>
        <w:t xml:space="preserve">Интеллектуальный модуль бэкенда, выполняющий автоматический поиск и назначение наилучшего курьера на сформированный заказ.</w:t>
      </w:r>
    </w:p>
    <w:tbl>
      <w:tblPr>
        <w:tblW w:type="dxa" w:w="9923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1"/>
        <w:gridCol w:w="4933"/>
        <w:gridCol w:w="1474"/>
        <w:gridCol w:w="2495"/>
      </w:tblGrid>
      <w:tr>
        <w:trPr>
          <w:tblHeader/>
        </w:trPr>
        <w:tc>
          <w:tcPr>
            <w:tcW w:type="dxa" w:w="1021"/>
            <w:shd w:fill="1F4E79" w:color="1F4E79" w:val="solid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ID</w:t>
            </w:r>
          </w:p>
        </w:tc>
        <w:tc>
          <w:tcPr>
            <w:tcW w:type="dxa" w:w="4933"/>
            <w:shd w:fill="1F4E79" w:color="1F4E79" w:val="solid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Требование</w:t>
            </w:r>
          </w:p>
        </w:tc>
        <w:tc>
          <w:tcPr>
            <w:tcW w:type="dxa" w:w="1474"/>
            <w:shd w:fill="1F4E79" w:color="1F4E79" w:val="solid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Приоритет</w:t>
            </w:r>
          </w:p>
        </w:tc>
        <w:tc>
          <w:tcPr>
            <w:tcW w:type="dxa" w:w="2495"/>
            <w:shd w:fill="1F4E79" w:color="1F4E79" w:val="solid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Источник</w:t>
            </w:r>
          </w:p>
        </w:tc>
      </w:tr>
      <w:tr>
        <w:tc>
          <w:tcPr>
            <w:tcW w:type="dxa" w:w="1021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FR-033</w:t>
            </w:r>
          </w:p>
        </w:tc>
        <w:tc>
          <w:tcPr>
            <w:tcW w:type="dxa" w:w="4933"/>
            <w:shd w:fill="FFFFFF" w:color="FFFFFF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Автоматический подбор курьера по геопозиции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автоматически подбирать ближайшего свободного курьера на основе его текущего расстояния до ресторана.</w:t>
            </w:r>
          </w:p>
        </w:tc>
        <w:tc>
          <w:tcPr>
            <w:tcW w:type="dxa" w:w="1474"/>
            <w:shd w:fill="FFFFFF" w:color="FFFFFF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0000"/>
                <w:sz w:val="20"/>
                <w:szCs w:val="20"/>
              </w:rPr>
              <w:t xml:space="preserve">ВЫСОКАЯ</w:t>
            </w:r>
          </w:p>
        </w:tc>
        <w:tc>
          <w:tcPr>
            <w:tcW w:type="dxa" w:w="2495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3.5 ТЗ</w:t>
            </w:r>
          </w:p>
        </w:tc>
      </w:tr>
      <w:tr>
        <w:tc>
          <w:tcPr>
            <w:tcW w:type="dxa" w:w="1021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FR-034</w:t>
            </w:r>
          </w:p>
        </w:tc>
        <w:tc>
          <w:tcPr>
            <w:tcW w:type="dxa" w:w="4933"/>
            <w:shd w:fill="F2F2F2" w:color="F2F2F2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Каскадное переназначение при таймауте или отказе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При отказе курьера или отсутствии ответа в течение 60 секунд система должна автоматически передавать предложение следующему ближайшему курьеру.</w:t>
            </w:r>
          </w:p>
        </w:tc>
        <w:tc>
          <w:tcPr>
            <w:tcW w:type="dxa" w:w="1474"/>
            <w:shd w:fill="F2F2F2" w:color="F2F2F2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6600"/>
                <w:sz w:val="20"/>
                <w:szCs w:val="20"/>
              </w:rPr>
              <w:t xml:space="preserve">СРЕДНЯЯ</w:t>
            </w:r>
          </w:p>
        </w:tc>
        <w:tc>
          <w:tcPr>
            <w:tcW w:type="dxa" w:w="2495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3.5 ТЗ</w:t>
            </w:r>
          </w:p>
        </w:tc>
      </w:tr>
      <w:tr>
        <w:tc>
          <w:tcPr>
            <w:tcW w:type="dxa" w:w="1021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FR-035</w:t>
            </w:r>
          </w:p>
        </w:tc>
        <w:tc>
          <w:tcPr>
            <w:tcW w:type="dxa" w:w="4933"/>
            <w:shd w:fill="FFFFFF" w:color="FFFFFF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Эскалация нераспределённого заказа оператору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После получения трех отказов подряд от разных курьеров система должна автоматически переводить заказ в статус ручного распределения и передавать его оператору.</w:t>
            </w:r>
          </w:p>
        </w:tc>
        <w:tc>
          <w:tcPr>
            <w:tcW w:type="dxa" w:w="1474"/>
            <w:shd w:fill="FFFFFF" w:color="FFFFFF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6600"/>
                <w:sz w:val="20"/>
                <w:szCs w:val="20"/>
              </w:rPr>
              <w:t xml:space="preserve">СРЕДНЯЯ</w:t>
            </w:r>
          </w:p>
        </w:tc>
        <w:tc>
          <w:tcPr>
            <w:tcW w:type="dxa" w:w="2495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3.5 ТЗ</w:t>
            </w:r>
          </w:p>
        </w:tc>
      </w:tr>
    </w:tbl>
    <w:p>
      <w:r>
        <w:br w:type="page"/>
      </w:r>
    </w:p>
    <w:p>
      <w:pPr>
        <w:spacing w:after="100" w:before="20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Модуль 6: Панель оператора и администрирование</w:t>
      </w:r>
    </w:p>
    <w:p>
      <w:pPr>
        <w:spacing w:after="120"/>
      </w:pPr>
      <w:r>
        <w:rPr>
          <w:rFonts w:ascii="Arial" w:cs="Arial" w:eastAsia="Arial" w:hAnsi="Arial"/>
          <w:color w:val="000000"/>
          <w:sz w:val="22"/>
          <w:szCs w:val="22"/>
        </w:rPr>
        <w:t xml:space="preserve">Центральная панель управления платформой для сотрудников ООО «Сытый город», обеспечивающая контроль за качеством работы сервиса, финпотоками и урегулированием инцидентов.</w:t>
      </w:r>
    </w:p>
    <w:tbl>
      <w:tblPr>
        <w:tblW w:type="dxa" w:w="9923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1"/>
        <w:gridCol w:w="4933"/>
        <w:gridCol w:w="1474"/>
        <w:gridCol w:w="2495"/>
      </w:tblGrid>
      <w:tr>
        <w:trPr>
          <w:tblHeader/>
        </w:trPr>
        <w:tc>
          <w:tcPr>
            <w:tcW w:type="dxa" w:w="1021"/>
            <w:shd w:fill="1F4E79" w:color="1F4E79" w:val="solid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ID</w:t>
            </w:r>
          </w:p>
        </w:tc>
        <w:tc>
          <w:tcPr>
            <w:tcW w:type="dxa" w:w="4933"/>
            <w:shd w:fill="1F4E79" w:color="1F4E79" w:val="solid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Требование</w:t>
            </w:r>
          </w:p>
        </w:tc>
        <w:tc>
          <w:tcPr>
            <w:tcW w:type="dxa" w:w="1474"/>
            <w:shd w:fill="1F4E79" w:color="1F4E79" w:val="solid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Приоритет</w:t>
            </w:r>
          </w:p>
        </w:tc>
        <w:tc>
          <w:tcPr>
            <w:tcW w:type="dxa" w:w="2495"/>
            <w:shd w:fill="1F4E79" w:color="1F4E79" w:val="solid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Источник</w:t>
            </w:r>
          </w:p>
        </w:tc>
      </w:tr>
      <w:tr>
        <w:tc>
          <w:tcPr>
            <w:tcW w:type="dxa" w:w="1021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FR-036</w:t>
            </w:r>
          </w:p>
        </w:tc>
        <w:tc>
          <w:tcPr>
            <w:tcW w:type="dxa" w:w="4933"/>
            <w:shd w:fill="FFFFFF" w:color="FFFFFF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Модерация и аккредитация ресторанов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позволять обрабатывать заявки ресторанов на подключение, вести их карточки, юридические реквизиты, загруженные договоры и индивидуальные ставки комиссии.</w:t>
            </w:r>
          </w:p>
        </w:tc>
        <w:tc>
          <w:tcPr>
            <w:tcW w:type="dxa" w:w="1474"/>
            <w:shd w:fill="FFFFFF" w:color="FFFFFF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6600"/>
                <w:sz w:val="20"/>
                <w:szCs w:val="20"/>
              </w:rPr>
              <w:t xml:space="preserve">СРЕДНЯЯ</w:t>
            </w:r>
          </w:p>
        </w:tc>
        <w:tc>
          <w:tcPr>
            <w:tcW w:type="dxa" w:w="2495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3.4 ТЗ</w:t>
            </w:r>
          </w:p>
        </w:tc>
      </w:tr>
      <w:tr>
        <w:tc>
          <w:tcPr>
            <w:tcW w:type="dxa" w:w="1021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FR-037</w:t>
            </w:r>
          </w:p>
        </w:tc>
        <w:tc>
          <w:tcPr>
            <w:tcW w:type="dxa" w:w="4933"/>
            <w:shd w:fill="F2F2F2" w:color="F2F2F2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Управление анкетами и блокировкой курьеров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содержать реестр курьеров (анкеты, паспорта/документы) и давать возможность временно или полностью блокировать курьеров.</w:t>
            </w:r>
          </w:p>
        </w:tc>
        <w:tc>
          <w:tcPr>
            <w:tcW w:type="dxa" w:w="1474"/>
            <w:shd w:fill="F2F2F2" w:color="F2F2F2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6600"/>
                <w:sz w:val="20"/>
                <w:szCs w:val="20"/>
              </w:rPr>
              <w:t xml:space="preserve">СРЕДНЯЯ</w:t>
            </w:r>
          </w:p>
        </w:tc>
        <w:tc>
          <w:tcPr>
            <w:tcW w:type="dxa" w:w="2495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3.4 ТЗ</w:t>
            </w:r>
          </w:p>
        </w:tc>
      </w:tr>
      <w:tr>
        <w:tc>
          <w:tcPr>
            <w:tcW w:type="dxa" w:w="1021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FR-038</w:t>
            </w:r>
          </w:p>
        </w:tc>
        <w:tc>
          <w:tcPr>
            <w:tcW w:type="dxa" w:w="4933"/>
            <w:shd w:fill="FFFFFF" w:color="FFFFFF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Мониторинг заказов в реальном времени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предоставлять диспетчерский экран текущих заказов с фильтрацией по статусам и визуальным выделением (подсветкой) просроченных заказов.</w:t>
            </w:r>
          </w:p>
        </w:tc>
        <w:tc>
          <w:tcPr>
            <w:tcW w:type="dxa" w:w="1474"/>
            <w:shd w:fill="FFFFFF" w:color="FFFFFF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6600"/>
                <w:sz w:val="20"/>
                <w:szCs w:val="20"/>
              </w:rPr>
              <w:t xml:space="preserve">СРЕДНЯЯ</w:t>
            </w:r>
          </w:p>
        </w:tc>
        <w:tc>
          <w:tcPr>
            <w:tcW w:type="dxa" w:w="2495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3.4 ТЗ</w:t>
            </w:r>
          </w:p>
        </w:tc>
      </w:tr>
      <w:tr>
        <w:tc>
          <w:tcPr>
            <w:tcW w:type="dxa" w:w="1021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FR-039</w:t>
            </w:r>
          </w:p>
        </w:tc>
        <w:tc>
          <w:tcPr>
            <w:tcW w:type="dxa" w:w="4933"/>
            <w:shd w:fill="F2F2F2" w:color="F2F2F2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Ручное переназначение курьера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позволять оператору вручную назначить или сменить курьера на любом этапе обработки заказа.</w:t>
            </w:r>
          </w:p>
        </w:tc>
        <w:tc>
          <w:tcPr>
            <w:tcW w:type="dxa" w:w="1474"/>
            <w:shd w:fill="F2F2F2" w:color="F2F2F2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228B22"/>
                <w:sz w:val="20"/>
                <w:szCs w:val="20"/>
              </w:rPr>
              <w:t xml:space="preserve">НИЗКАЯ</w:t>
            </w:r>
          </w:p>
        </w:tc>
        <w:tc>
          <w:tcPr>
            <w:tcW w:type="dxa" w:w="2495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3.4 ТЗ</w:t>
            </w:r>
          </w:p>
        </w:tc>
      </w:tr>
      <w:tr>
        <w:tc>
          <w:tcPr>
            <w:tcW w:type="dxa" w:w="1021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FR-040</w:t>
            </w:r>
          </w:p>
        </w:tc>
        <w:tc>
          <w:tcPr>
            <w:tcW w:type="dxa" w:w="4933"/>
            <w:shd w:fill="FFFFFF" w:color="FFFFFF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Урегулирование споров и проведение возвратов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давать оператору инструмент проведения частичного или полного возврата денежных средств покупателю на карту при возникновении спорных ситуаций.</w:t>
            </w:r>
          </w:p>
        </w:tc>
        <w:tc>
          <w:tcPr>
            <w:tcW w:type="dxa" w:w="1474"/>
            <w:shd w:fill="FFFFFF" w:color="FFFFFF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0000"/>
                <w:sz w:val="20"/>
                <w:szCs w:val="20"/>
              </w:rPr>
              <w:t xml:space="preserve">ВЫСОКАЯ</w:t>
            </w:r>
          </w:p>
        </w:tc>
        <w:tc>
          <w:tcPr>
            <w:tcW w:type="dxa" w:w="2495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3.4 ТЗ</w:t>
            </w:r>
          </w:p>
        </w:tc>
      </w:tr>
      <w:tr>
        <w:tc>
          <w:tcPr>
            <w:tcW w:type="dxa" w:w="1021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FR-041</w:t>
            </w:r>
          </w:p>
        </w:tc>
        <w:tc>
          <w:tcPr>
            <w:tcW w:type="dxa" w:w="4933"/>
            <w:shd w:fill="F2F2F2" w:color="F2F2F2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Управление промокодами и акциями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предоставлять функционал создания промокодов, задания лимитов их использования и просмотра аналитики по их эффективности.</w:t>
            </w:r>
          </w:p>
        </w:tc>
        <w:tc>
          <w:tcPr>
            <w:tcW w:type="dxa" w:w="1474"/>
            <w:shd w:fill="F2F2F2" w:color="F2F2F2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6600"/>
                <w:sz w:val="20"/>
                <w:szCs w:val="20"/>
              </w:rPr>
              <w:t xml:space="preserve">СРЕДНЯЯ</w:t>
            </w:r>
          </w:p>
        </w:tc>
        <w:tc>
          <w:tcPr>
            <w:tcW w:type="dxa" w:w="2495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3.4 ТЗ</w:t>
            </w:r>
          </w:p>
        </w:tc>
      </w:tr>
      <w:tr>
        <w:tc>
          <w:tcPr>
            <w:tcW w:type="dxa" w:w="1021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FR-042</w:t>
            </w:r>
          </w:p>
        </w:tc>
        <w:tc>
          <w:tcPr>
            <w:tcW w:type="dxa" w:w="4933"/>
            <w:shd w:fill="FFFFFF" w:color="FFFFFF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Сводная аналитика и отчёты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генерировать бизнес-отчёты по обшей выручке площадки, комиссионным доходам по ресторанам и средней скорости доставки заказов.</w:t>
            </w:r>
          </w:p>
        </w:tc>
        <w:tc>
          <w:tcPr>
            <w:tcW w:type="dxa" w:w="1474"/>
            <w:shd w:fill="FFFFFF" w:color="FFFFFF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6600"/>
                <w:sz w:val="20"/>
                <w:szCs w:val="20"/>
              </w:rPr>
              <w:t xml:space="preserve">СРЕДНЯЯ</w:t>
            </w:r>
          </w:p>
        </w:tc>
        <w:tc>
          <w:tcPr>
            <w:tcW w:type="dxa" w:w="2495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3.4 ТЗ</w:t>
            </w:r>
          </w:p>
        </w:tc>
      </w:tr>
      <w:tr>
        <w:tc>
          <w:tcPr>
            <w:tcW w:type="dxa" w:w="1021"/>
            <w:shd w:fill="FFFF99" w:color="FFFF99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FR-043</w:t>
            </w:r>
          </w:p>
        </w:tc>
        <w:tc>
          <w:tcPr>
            <w:tcW w:type="dxa" w:w="4933"/>
            <w:shd w:fill="FFFF99" w:color="FFFF99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Расчёт взаиморасчетов с ресторанами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автоматически рассчитывать сальдо взаиморасчетов с ресторанами с учетом принятых наличных/онлайн платежей и удерживаемой комиссии.</w:t>
            </w:r>
          </w:p>
        </w:tc>
        <w:tc>
          <w:tcPr>
            <w:tcW w:type="dxa" w:w="1474"/>
            <w:shd w:fill="FFFF99" w:color="FFFF99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6600"/>
                <w:sz w:val="20"/>
                <w:szCs w:val="20"/>
              </w:rPr>
              <w:t xml:space="preserve">СРЕДНЯЯ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6600"/>
                <w:sz w:val="14"/>
                <w:szCs w:val="14"/>
              </w:rPr>
              <w:t xml:space="preserve">ПРЕДПОЛОЖЕНИЕ</w:t>
            </w:r>
          </w:p>
        </w:tc>
        <w:tc>
          <w:tcPr>
            <w:tcW w:type="dxa" w:w="2495"/>
            <w:shd w:fill="FFFF99" w:color="FFFF99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Необходимо для корректной подготовки данных перед выгрузкой в 1С:Бухгалтерию.</w:t>
            </w:r>
          </w:p>
        </w:tc>
      </w:tr>
    </w:tbl>
    <w:p>
      <w:r>
        <w:br w:type="page"/>
      </w:r>
    </w:p>
    <w:p>
      <w:pPr>
        <w:spacing w:after="200" w:before="20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Технические требования</w:t>
      </w:r>
    </w:p>
    <w:tbl>
      <w:tblPr>
        <w:tblW w:type="dxa" w:w="9923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1"/>
        <w:gridCol w:w="4933"/>
        <w:gridCol w:w="1474"/>
        <w:gridCol w:w="2495"/>
      </w:tblGrid>
      <w:tr>
        <w:trPr>
          <w:tblHeader/>
        </w:trPr>
        <w:tc>
          <w:tcPr>
            <w:tcW w:type="dxa" w:w="1021"/>
            <w:shd w:fill="1F4E79" w:color="1F4E79" w:val="solid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ID</w:t>
            </w:r>
          </w:p>
        </w:tc>
        <w:tc>
          <w:tcPr>
            <w:tcW w:type="dxa" w:w="4933"/>
            <w:shd w:fill="1F4E79" w:color="1F4E79" w:val="solid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Требование</w:t>
            </w:r>
          </w:p>
        </w:tc>
        <w:tc>
          <w:tcPr>
            <w:tcW w:type="dxa" w:w="1474"/>
            <w:shd w:fill="1F4E79" w:color="1F4E79" w:val="solid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Приоритет</w:t>
            </w:r>
          </w:p>
        </w:tc>
        <w:tc>
          <w:tcPr>
            <w:tcW w:type="dxa" w:w="2495"/>
            <w:shd w:fill="1F4E79" w:color="1F4E79" w:val="solid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Источник</w:t>
            </w:r>
          </w:p>
        </w:tc>
      </w:tr>
      <w:tr>
        <w:tc>
          <w:tcPr>
            <w:tcW w:type="dxa" w:w="1021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TR-001</w:t>
            </w:r>
          </w:p>
        </w:tc>
        <w:tc>
          <w:tcPr>
            <w:tcW w:type="dxa" w:w="4933"/>
            <w:shd w:fill="FFFFFF" w:color="FFFFFF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Производительность при пиковой нагрузке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выдерживать нагрузку не менее 500 одновременных активных пользователей на пике, обрабатывая до 800 заказов в сутки и до 60 одновременно работающих курьеров.</w:t>
            </w:r>
          </w:p>
        </w:tc>
        <w:tc>
          <w:tcPr>
            <w:tcW w:type="dxa" w:w="1474"/>
            <w:shd w:fill="FFFFFF" w:color="FFFFFF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0000"/>
                <w:sz w:val="20"/>
                <w:szCs w:val="20"/>
              </w:rPr>
              <w:t xml:space="preserve">ВЫСОКАЯ</w:t>
            </w:r>
          </w:p>
        </w:tc>
        <w:tc>
          <w:tcPr>
            <w:tcW w:type="dxa" w:w="2495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1, 5 ТЗ</w:t>
            </w:r>
          </w:p>
        </w:tc>
      </w:tr>
      <w:tr>
        <w:tc>
          <w:tcPr>
            <w:tcW w:type="dxa" w:w="1021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TR-002</w:t>
            </w:r>
          </w:p>
        </w:tc>
        <w:tc>
          <w:tcPr>
            <w:tcW w:type="dxa" w:w="4933"/>
            <w:shd w:fill="F2F2F2" w:color="F2F2F2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Скорость загрузки каталога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Время открытия каталога ресторанов и блюд не должно превышать 2 секунд при стандартном мобильном интернет-соединении (3G/4G).</w:t>
            </w:r>
          </w:p>
        </w:tc>
        <w:tc>
          <w:tcPr>
            <w:tcW w:type="dxa" w:w="1474"/>
            <w:shd w:fill="F2F2F2" w:color="F2F2F2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6600"/>
                <w:sz w:val="20"/>
                <w:szCs w:val="20"/>
              </w:rPr>
              <w:t xml:space="preserve">СРЕДНЯЯ</w:t>
            </w:r>
          </w:p>
        </w:tc>
        <w:tc>
          <w:tcPr>
            <w:tcW w:type="dxa" w:w="2495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5 ТЗ</w:t>
            </w:r>
          </w:p>
        </w:tc>
      </w:tr>
      <w:tr>
        <w:tc>
          <w:tcPr>
            <w:tcW w:type="dxa" w:w="1021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TR-003</w:t>
            </w:r>
          </w:p>
        </w:tc>
        <w:tc>
          <w:tcPr>
            <w:tcW w:type="dxa" w:w="4933"/>
            <w:shd w:fill="FFFFFF" w:color="FFFFFF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Доступность сервиса (SLA)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Коэффициент доступности сервиса должен составлять не менее 99% в рабочее время работы ресторанов (с 10:00 до 23:00).</w:t>
            </w:r>
          </w:p>
        </w:tc>
        <w:tc>
          <w:tcPr>
            <w:tcW w:type="dxa" w:w="1474"/>
            <w:shd w:fill="FFFFFF" w:color="FFFFFF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6600"/>
                <w:sz w:val="20"/>
                <w:szCs w:val="20"/>
              </w:rPr>
              <w:t xml:space="preserve">СРЕДНЯЯ</w:t>
            </w:r>
          </w:p>
        </w:tc>
        <w:tc>
          <w:tcPr>
            <w:tcW w:type="dxa" w:w="2495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5 ТЗ</w:t>
            </w:r>
          </w:p>
        </w:tc>
      </w:tr>
      <w:tr>
        <w:tc>
          <w:tcPr>
            <w:tcW w:type="dxa" w:w="1021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TR-004</w:t>
            </w:r>
          </w:p>
        </w:tc>
        <w:tc>
          <w:tcPr>
            <w:tcW w:type="dxa" w:w="4933"/>
            <w:shd w:fill="F2F2F2" w:color="F2F2F2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Безопасность и соблюдение 152-ФЗ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Обработка и хранение персональных данных пользователей и сотрудников должны строго соответствовать требованиям 152-ФЗ, базовая БД должна размещаться на серверах на территории РФ.</w:t>
            </w:r>
          </w:p>
        </w:tc>
        <w:tc>
          <w:tcPr>
            <w:tcW w:type="dxa" w:w="1474"/>
            <w:shd w:fill="F2F2F2" w:color="F2F2F2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0000"/>
                <w:sz w:val="20"/>
                <w:szCs w:val="20"/>
              </w:rPr>
              <w:t xml:space="preserve">ВЫСОКАЯ</w:t>
            </w:r>
          </w:p>
        </w:tc>
        <w:tc>
          <w:tcPr>
            <w:tcW w:type="dxa" w:w="2495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5 ТЗ</w:t>
            </w:r>
          </w:p>
        </w:tc>
      </w:tr>
      <w:tr>
        <w:tc>
          <w:tcPr>
            <w:tcW w:type="dxa" w:w="1021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TR-005</w:t>
            </w:r>
          </w:p>
        </w:tc>
        <w:tc>
          <w:tcPr>
            <w:tcW w:type="dxa" w:w="4933"/>
            <w:shd w:fill="FFFFFF" w:color="FFFFFF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Поддержка браузеров (Веб-версия)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Веб-версия сервиса должна корректно функционировать и сохранять адаптивность в двух последних мажорных версиях браузеров Chrome, Safari, Firefox, Edge.</w:t>
            </w:r>
          </w:p>
        </w:tc>
        <w:tc>
          <w:tcPr>
            <w:tcW w:type="dxa" w:w="1474"/>
            <w:shd w:fill="FFFFFF" w:color="FFFFFF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228B22"/>
                <w:sz w:val="20"/>
                <w:szCs w:val="20"/>
              </w:rPr>
              <w:t xml:space="preserve">НИЗКАЯ</w:t>
            </w:r>
          </w:p>
        </w:tc>
        <w:tc>
          <w:tcPr>
            <w:tcW w:type="dxa" w:w="2495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5 ТЗ</w:t>
            </w:r>
          </w:p>
        </w:tc>
      </w:tr>
      <w:tr>
        <w:tc>
          <w:tcPr>
            <w:tcW w:type="dxa" w:w="1021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TR-006</w:t>
            </w:r>
          </w:p>
        </w:tc>
        <w:tc>
          <w:tcPr>
            <w:tcW w:type="dxa" w:w="4933"/>
            <w:shd w:fill="F2F2F2" w:color="F2F2F2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Поддержка мобильных ОС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Мобильные приложения (для покупателей и курьеров) должны поддерживать операционные системы iOS начиная с версии 15 и Android начиная с версии 10.</w:t>
            </w:r>
          </w:p>
        </w:tc>
        <w:tc>
          <w:tcPr>
            <w:tcW w:type="dxa" w:w="1474"/>
            <w:shd w:fill="F2F2F2" w:color="F2F2F2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6600"/>
                <w:sz w:val="20"/>
                <w:szCs w:val="20"/>
              </w:rPr>
              <w:t xml:space="preserve">СРЕДНЯЯ</w:t>
            </w:r>
          </w:p>
        </w:tc>
        <w:tc>
          <w:tcPr>
            <w:tcW w:type="dxa" w:w="2495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5 ТЗ</w:t>
            </w:r>
          </w:p>
        </w:tc>
      </w:tr>
      <w:tr>
        <w:tc>
          <w:tcPr>
            <w:tcW w:type="dxa" w:w="1021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TR-007</w:t>
            </w:r>
          </w:p>
        </w:tc>
        <w:tc>
          <w:tcPr>
            <w:tcW w:type="dxa" w:w="4933"/>
            <w:shd w:fill="FFFFFF" w:color="FFFFFF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Резервное копирование данных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Резервное копирование базы данных должно выполняться в автоматическом режиме ежедневно, глубина хранения бэкапов — не менее 30 календарных дней.</w:t>
            </w:r>
          </w:p>
        </w:tc>
        <w:tc>
          <w:tcPr>
            <w:tcW w:type="dxa" w:w="1474"/>
            <w:shd w:fill="FFFFFF" w:color="FFFFFF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6600"/>
                <w:sz w:val="20"/>
                <w:szCs w:val="20"/>
              </w:rPr>
              <w:t xml:space="preserve">СРЕДНЯЯ</w:t>
            </w:r>
          </w:p>
        </w:tc>
        <w:tc>
          <w:tcPr>
            <w:tcW w:type="dxa" w:w="2495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5 ТЗ</w:t>
            </w:r>
          </w:p>
        </w:tc>
      </w:tr>
      <w:tr>
        <w:tc>
          <w:tcPr>
            <w:tcW w:type="dxa" w:w="1021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TR-008</w:t>
            </w:r>
          </w:p>
        </w:tc>
        <w:tc>
          <w:tcPr>
            <w:tcW w:type="dxa" w:w="4933"/>
            <w:shd w:fill="F2F2F2" w:color="F2F2F2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Интеграция с эквайрингом и 54-ФЗ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быть интегрирована с платежным шлюзом эквайринга для проведения холдирования/списания/возвратов средств и с облачной онлайн-кассой для автоматической генерации чеков согласно 54-ФЗ.</w:t>
            </w:r>
          </w:p>
        </w:tc>
        <w:tc>
          <w:tcPr>
            <w:tcW w:type="dxa" w:w="1474"/>
            <w:shd w:fill="F2F2F2" w:color="F2F2F2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0000"/>
                <w:sz w:val="20"/>
                <w:szCs w:val="20"/>
              </w:rPr>
              <w:t xml:space="preserve">ВЫСОКАЯ</w:t>
            </w:r>
          </w:p>
        </w:tc>
        <w:tc>
          <w:tcPr>
            <w:tcW w:type="dxa" w:w="2495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4 ТЗ</w:t>
            </w:r>
          </w:p>
        </w:tc>
      </w:tr>
      <w:tr>
        <w:tc>
          <w:tcPr>
            <w:tcW w:type="dxa" w:w="1021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TR-009</w:t>
            </w:r>
          </w:p>
        </w:tc>
        <w:tc>
          <w:tcPr>
            <w:tcW w:type="dxa" w:w="4933"/>
            <w:shd w:fill="FFFFFF" w:color="FFFFFF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Интеграция с картографическим сервисом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быть интегрирована с API картографического сервиса (Яндекс/Mapbox/2GIS) для автоматической подсказки адресов, геокодинга, построения автомобильных/вело маршрутов и передачи координат курьера.</w:t>
            </w:r>
          </w:p>
        </w:tc>
        <w:tc>
          <w:tcPr>
            <w:tcW w:type="dxa" w:w="1474"/>
            <w:shd w:fill="FFFFFF" w:color="FFFFFF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0000"/>
                <w:sz w:val="20"/>
                <w:szCs w:val="20"/>
              </w:rPr>
              <w:t xml:space="preserve">ВЫСОКАЯ</w:t>
            </w:r>
          </w:p>
        </w:tc>
        <w:tc>
          <w:tcPr>
            <w:tcW w:type="dxa" w:w="2495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4 ТЗ</w:t>
            </w:r>
          </w:p>
        </w:tc>
      </w:tr>
      <w:tr>
        <w:tc>
          <w:tcPr>
            <w:tcW w:type="dxa" w:w="1021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TR-010</w:t>
            </w:r>
          </w:p>
        </w:tc>
        <w:tc>
          <w:tcPr>
            <w:tcW w:type="dxa" w:w="4933"/>
            <w:shd w:fill="F2F2F2" w:color="F2F2F2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Интеграция с SMS и Push шлюзами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подключаться к провайдеру SMS-рассылок для отправки кодов авторизации и сервисам отправки Push-уведомлений (APNs / FCM).</w:t>
            </w:r>
          </w:p>
        </w:tc>
        <w:tc>
          <w:tcPr>
            <w:tcW w:type="dxa" w:w="1474"/>
            <w:shd w:fill="F2F2F2" w:color="F2F2F2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6600"/>
                <w:sz w:val="20"/>
                <w:szCs w:val="20"/>
              </w:rPr>
              <w:t xml:space="preserve">СРЕДНЯЯ</w:t>
            </w:r>
          </w:p>
        </w:tc>
        <w:tc>
          <w:tcPr>
            <w:tcW w:type="dxa" w:w="2495"/>
            <w:shd w:fill="F2F2F2" w:color="F2F2F2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4 ТЗ</w:t>
            </w:r>
          </w:p>
        </w:tc>
      </w:tr>
      <w:tr>
        <w:tc>
          <w:tcPr>
            <w:tcW w:type="dxa" w:w="1021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TR-011</w:t>
            </w:r>
          </w:p>
        </w:tc>
        <w:tc>
          <w:tcPr>
            <w:tcW w:type="dxa" w:w="4933"/>
            <w:shd w:fill="FFFFFF" w:color="FFFFFF" w:val="solid"/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2"/>
                <w:szCs w:val="22"/>
              </w:rPr>
              <w:t xml:space="preserve">Интеграция с 1С:Бухгалтерия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Система должна поддерживать выгрузку реестра взаиморасчетов и перечислений денежных средств ресторанам в систему 1С:Бухгалтерия заказчика.</w:t>
            </w:r>
          </w:p>
        </w:tc>
        <w:tc>
          <w:tcPr>
            <w:tcW w:type="dxa" w:w="1474"/>
            <w:shd w:fill="FFFFFF" w:color="FFFFFF" w:val="solid"/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C6600"/>
                <w:sz w:val="20"/>
                <w:szCs w:val="20"/>
              </w:rPr>
              <w:t xml:space="preserve">СРЕДНЯЯ</w:t>
            </w:r>
          </w:p>
        </w:tc>
        <w:tc>
          <w:tcPr>
            <w:tcW w:type="dxa" w:w="2495"/>
            <w:shd w:fill="FFFFFF" w:color="FFFFFF" w:val="solid"/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i/>
                <w:iCs/>
                <w:color w:val="000000"/>
                <w:sz w:val="18"/>
                <w:szCs w:val="18"/>
              </w:rPr>
              <w:t xml:space="preserve">раздел 4 ТЗ</w:t>
            </w:r>
          </w:p>
        </w:tc>
      </w:tr>
    </w:tbl>
    <w:sectPr>
      <w:footerReference w:type="default" r:id="rId7"/>
      <w:pgSz w:w="11907" w:h="16840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999999"/>
        <w:sz w:val="18"/>
        <w:szCs w:val="18"/>
      </w:rPr>
      <w:t xml:space="preserve">Требования — Требования к системе  |  </w:t>
    </w:r>
    <w:r>
      <w:rPr>
        <w:rFonts w:ascii="Arial" w:cs="Arial" w:eastAsia="Arial" w:hAnsi="Arial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2026-08-01T16:53:18.210Z</dcterms:created>
  <dcterms:modified xsi:type="dcterms:W3CDTF">2026-08-01T16:53:18.213Z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